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0610C4E2" w14:textId="77777777" w:rsidR="00FA5BE2" w:rsidRPr="00FA5BE2" w:rsidRDefault="00FA5BE2" w:rsidP="00FA5BE2">
            <w:pPr>
              <w:pStyle w:val="primepapierstyl"/>
              <w:rPr>
                <w:rFonts w:eastAsia="Times New Roman"/>
              </w:rPr>
            </w:pPr>
            <w:r w:rsidRPr="00FA5BE2">
              <w:rPr>
                <w:rFonts w:eastAsia="Times New Roman"/>
              </w:rPr>
              <w:t>W mieszkaniówce pandemii nie widać. Deweloperzy biją kolejne rekordy</w:t>
            </w:r>
          </w:p>
          <w:p w14:paraId="2A6DB400" w14:textId="0214D854" w:rsidR="00E07609" w:rsidRPr="0000744D" w:rsidRDefault="00E07609" w:rsidP="00FD7239">
            <w:pPr>
              <w:pStyle w:val="primenaglowek2"/>
              <w:spacing w:line="360" w:lineRule="auto"/>
              <w:rPr>
                <w:b w:val="0"/>
              </w:rPr>
            </w:pP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635FBE6A" w:rsidR="00E07609" w:rsidRPr="006B7A6A" w:rsidRDefault="00FA5BE2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</w:t>
            </w:r>
            <w:r>
              <w:rPr>
                <w:lang w:val="pl-PL"/>
              </w:rPr>
              <w:t>6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8855E" w14:textId="77777777" w:rsidR="00FB6DC2" w:rsidRDefault="00FB6DC2" w:rsidP="00FB6DC2">
      <w:pPr>
        <w:pStyle w:val="primenaglowek1"/>
        <w:rPr>
          <w:rFonts w:eastAsia="Times New Roman"/>
        </w:rPr>
      </w:pPr>
      <w:r w:rsidRPr="00FB6DC2">
        <w:rPr>
          <w:rFonts w:eastAsia="Times New Roman"/>
        </w:rPr>
        <w:t>W mieszkaniówce pandemii nie widać. Deweloperzy biją kolejne rekordy</w:t>
      </w:r>
    </w:p>
    <w:p w14:paraId="3405EE68" w14:textId="2535B334" w:rsidR="00FA5BE2" w:rsidRPr="00FB6DC2" w:rsidRDefault="00FA5BE2" w:rsidP="00FB6DC2">
      <w:pPr>
        <w:pStyle w:val="primenaglowek2"/>
        <w:rPr>
          <w:rFonts w:eastAsia="Times New Roman"/>
        </w:rPr>
      </w:pPr>
      <w:r>
        <w:t>Ostatni rok wywołał sporo zamieszania w gospodarce światowej. Pomimo początkowych obaw, mieszkaniówka okazała się wirusoodporna, a rynek zalicza dalsze wzrosty. Nieruchomości wciąż drożeją, zainteresowanych zakupem nowego lokum nie brakuje, a deweloperzy osiągają rekordowe wyniki</w:t>
      </w:r>
      <w:r>
        <w:rPr>
          <w:sz w:val="28"/>
          <w:szCs w:val="28"/>
        </w:rPr>
        <w:t>.</w:t>
      </w:r>
    </w:p>
    <w:p w14:paraId="0DC23AF1" w14:textId="4BA34670" w:rsidR="00FA5BE2" w:rsidRDefault="00FA5BE2" w:rsidP="00FB6DC2">
      <w:pPr>
        <w:pStyle w:val="primenaglowek2"/>
      </w:pPr>
      <w:r>
        <w:t>2021 rokiem rekordów w branży</w:t>
      </w:r>
    </w:p>
    <w:p w14:paraId="34A843A1" w14:textId="51D20270" w:rsidR="00FA5BE2" w:rsidRDefault="00FA5BE2" w:rsidP="00FB6DC2">
      <w:pPr>
        <w:pStyle w:val="primepapierstyl"/>
      </w:pPr>
      <w:r>
        <w:t xml:space="preserve">Ubiegły rok mimo początkowego osłabienia popytu na mieszkania i wszechobecnego strachu na rynku, nie przyniósł większych podstaw do niepokoju. Już w październiku tego roku Główny Urząd Statystyczny w swoim raporcie odniósł się do II kwartału, w którym wykazał, że ceny mieszkań wzrosły o 10,9% w skali roku - na rynku pierwotnym był to wzrost o 5,3%, a w przypadku </w:t>
      </w:r>
      <w:r>
        <w:lastRenderedPageBreak/>
        <w:t xml:space="preserve">rynku wtórnego o 15,4%. W I kwartale 2021 r. deweloperzy do użytku oddali 53,3 tys. mieszkań, co stanowi wzrost o 7,4% w porównaniu do analogicznego okresu w roku poprzednim. Spadek rzędu 1,2% zaliczyli w lokalach oddanych do eksploatacji - było ich 30,4 tys. Prawdziwy boom przeżywają jednak inwestorzy indywidualni, którzy sprzedali 21,7 tys. mieszkań, czyli o 21,1% więcej niż w 2020 roku. (Źródło danych GUS) - </w:t>
      </w:r>
      <w:r>
        <w:rPr>
          <w:i/>
          <w:iCs/>
        </w:rPr>
        <w:t>Mimo trudnej sytuacji gospodarczej, wyniki sprzedażowe zarówno z tego, jak i ubiegłego roku można uznać za bardzo dobre. Nie sprawdziły się najgorsze scenariusze dotyczące branży. Wiosną ubiegłego roku ruch był mniejszy i niektórzy wycofywali się z rezerwacji lokali, ale sytuacja ta szybko uległa poprawie. Pomimo następnych fal pandemii byliśmy w stanie wywiązać się z inwestycyjnych zobowiązań. Obecnie popyt na mieszkania utrzymuje się na wysokim poziomie. Osoby, które wcześniej wahały się z decyzją o zakupie mieszkania, teraz są o wiele pewniejsze tego kroku</w:t>
      </w:r>
      <w:r>
        <w:rPr>
          <w:b/>
          <w:bCs/>
          <w:i/>
          <w:iCs/>
        </w:rPr>
        <w:t xml:space="preserve"> </w:t>
      </w:r>
      <w:r>
        <w:t>– komentuje Grzegorz Woźniak, prezes spółki Quelle Locum. </w:t>
      </w:r>
    </w:p>
    <w:p w14:paraId="7FAB7E0D" w14:textId="00B47508" w:rsidR="00FA5BE2" w:rsidRDefault="00FA5BE2" w:rsidP="00FB6DC2">
      <w:pPr>
        <w:pStyle w:val="primepapierstyl"/>
      </w:pPr>
      <w:r>
        <w:t xml:space="preserve">Odzwierciedlenie tej sytuacji widzimy w liczbach - w marcu 2021 r. deweloperzy rozpoczęli budowę przekraczającą 17,8 tys. lokali, co jest najwyższym marcowym wynikiem w historii naszego kraju, a w porównaniu do marca 2020 jest to aż o 63% więcej mieszkań (HRE Investments). Spowodowane jest to głównie największym w historii popytem, który generowany jest przez bardzo korzystne niskie oprocentowanie lokat i tanie kredyty oraz inflację, która przekracza wartość oprocentowania kont bankowych. Taka sytuacja skłania ludzi do inwestowania w kruszce bądź nieruchomości. Jak wyszczególnia HRE Investments, na tak dobry wynik wśród deweloperskich statystyk kluczowy wpływ </w:t>
      </w:r>
      <w:r>
        <w:lastRenderedPageBreak/>
        <w:t>miał rynek pracy, który mimo ogromnych ciosów nadal utrzymuje się w stosunkowo dobrej kondycji.</w:t>
      </w:r>
    </w:p>
    <w:p w14:paraId="02D4723F" w14:textId="25FA6E6D" w:rsidR="00FA5BE2" w:rsidRDefault="00FA5BE2" w:rsidP="00FB6DC2">
      <w:pPr>
        <w:pStyle w:val="primepapierstyl"/>
      </w:pPr>
      <w:r>
        <w:t>Na wyróżnienie zasługuje także kolejny rekord br., czyli powalająca ilość pozwoleń na budowę, stanowiąca aż 23,3 tys. lokali w samym tylko marcu, co szacuje się na ok. 68% więcej pozwoleń niż rok wcześniej. Główny analityk HRE Investments, Bartosz Turek zwraca również uwagę na wzrost zainteresowania budową domów, które w marcu osiągnęły liczbę niemal 12 tys., co jest kolejnym przełomem na rynku - o 62% więcej niż w poprzednim 2020 roku.</w:t>
      </w:r>
    </w:p>
    <w:p w14:paraId="5972A319" w14:textId="136B201F" w:rsidR="00FA5BE2" w:rsidRDefault="00FA5BE2" w:rsidP="00FB6DC2">
      <w:pPr>
        <w:pStyle w:val="primenaglowek2"/>
      </w:pPr>
      <w:r>
        <w:t>Nie czas na obniżki</w:t>
      </w:r>
    </w:p>
    <w:p w14:paraId="6298F176" w14:textId="3CE2B69C" w:rsidR="00FA5BE2" w:rsidRDefault="00FA5BE2" w:rsidP="00FB6DC2">
      <w:pPr>
        <w:pStyle w:val="primepapierstyl"/>
      </w:pPr>
      <w:r>
        <w:t>Wszystkie znaki na niebie i ziemi pokazują, że nie ma co liczyć na duże spadki w tej materii. Postępująca inflacja prawdopodobnie wzmoże trend kupowania nieruchomości w celu ochrony kapitału, co symptomatyczne będzie z podniesieniem się popytu, a to wywinduje ceny w górę. Nie są to jednak wszystkie przesłanki. -</w:t>
      </w:r>
      <w:r>
        <w:rPr>
          <w:b/>
          <w:bCs/>
        </w:rPr>
        <w:t xml:space="preserve"> </w:t>
      </w:r>
      <w:r>
        <w:rPr>
          <w:i/>
          <w:iCs/>
        </w:rPr>
        <w:t xml:space="preserve">Myślę, że nieruchomości nadal będą drożeć. Spowodowane jest to wieloma czynnikami. Do tych najbardziej widocznych zaliczyć można wciąż drożejące materiały budowlane (np. cena stali wzrosła w ciągu roku aż o 100 proc.), co w oczywisty sposób przekłada się na wzrost kosztów budowy. W górę idą także ceny gruntów, co również wpływa na finalny koszt mkw. Dodatkowo do wzrostu cen mieszkań z pewnością przyczyni się powołanie funduszu deweloperskiego, a także restrykcje dotyczące energooszczędnej budowy </w:t>
      </w:r>
      <w:r>
        <w:rPr>
          <w:b/>
          <w:bCs/>
        </w:rPr>
        <w:t>-</w:t>
      </w:r>
      <w:r>
        <w:t xml:space="preserve"> mówi Grzegorz Woźniak. </w:t>
      </w:r>
    </w:p>
    <w:p w14:paraId="59015319" w14:textId="2B7F3B6A" w:rsidR="00A92BF9" w:rsidRPr="00FB6DC2" w:rsidRDefault="00FA5BE2" w:rsidP="00FB6DC2">
      <w:pPr>
        <w:pStyle w:val="primepapierstyl"/>
      </w:pPr>
      <w:r>
        <w:t xml:space="preserve">Przypuszczenia te zdaje się potwierdzać raport serwisu RynekPierwotny.pl, według którego ceny rosną miesiąc do miesiąca - najbardziej w Gdańsku, gdzie w marcu 2021 r. średnia cena za mkw. wynosiła 9 268 zł, a już w kwietniu 2021 r. 9 </w:t>
      </w:r>
      <w:r>
        <w:lastRenderedPageBreak/>
        <w:t>647 zł, tj. o 3,93% więcej. Najniższy wzrost odnotowano w Poznaniu, w którym średnia cena równa była 7 691 zł/mkw., a w kwietniu 7 727 zł (wzrost o 0,47%). Ciekawa sytuacja miała miejsce w Warszawie, gdzie za  mkw. trzeba było zapłacić w marcu 10 695 zł, przy czym miesiąc wcześniej było to 10 687 zł (spadek o 0,07%). W Krakowie w tym samym czasie mieszkania podrożały o 0,67%, w Łodzi o 1,01%, a we Wrocławiu o 1,23% (RynekPierwotny.pl).</w:t>
      </w:r>
      <w:r>
        <w:br/>
        <w:t xml:space="preserve">- </w:t>
      </w:r>
      <w:r>
        <w:rPr>
          <w:i/>
          <w:iCs/>
        </w:rPr>
        <w:t>Do tej pory na większość czynników deweloperzy okazali się po prostu odporni i poradzili sobie bez zarzutu. Takie kroki jak chociażby redukcja podaży, czy nawet szybkie reagowanie na zmiany i dostosowywanie się do zaistniałych warunków, czy to politycznych, czy to ekonomicznych pokazały niezłomność polskich inwestorów, a nasza branża wciąż zalicza rekordowe wzrosty. Przewidujemy, że podobnie będzie również w najbliższych miesiącach</w:t>
      </w:r>
      <w:r>
        <w:t xml:space="preserve"> - mówi Grzegorz Woźniak, prezes spółki Quelle Locum.</w:t>
      </w:r>
    </w:p>
    <w:p w14:paraId="53E68EF2" w14:textId="77777777" w:rsidR="00DF2C85" w:rsidRDefault="00DF2C85" w:rsidP="00A92BF9">
      <w:pPr>
        <w:pStyle w:val="primepapierstyl"/>
        <w:rPr>
          <w:b/>
          <w:lang w:val="pl-PL"/>
        </w:rPr>
      </w:pPr>
    </w:p>
    <w:p w14:paraId="0B9EE806" w14:textId="6BC3DC47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DA4E" w14:textId="77777777" w:rsidR="00922CEA" w:rsidRDefault="00922CEA" w:rsidP="00EB07E0">
      <w:pPr>
        <w:spacing w:after="0" w:line="240" w:lineRule="auto"/>
      </w:pPr>
      <w:r>
        <w:separator/>
      </w:r>
    </w:p>
  </w:endnote>
  <w:endnote w:type="continuationSeparator" w:id="0">
    <w:p w14:paraId="2611CD6D" w14:textId="77777777" w:rsidR="00922CEA" w:rsidRDefault="00922CE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7FBE" w14:textId="77777777" w:rsidR="00922CEA" w:rsidRDefault="00922CEA" w:rsidP="00EB07E0">
      <w:pPr>
        <w:spacing w:after="0" w:line="240" w:lineRule="auto"/>
      </w:pPr>
      <w:r>
        <w:separator/>
      </w:r>
    </w:p>
  </w:footnote>
  <w:footnote w:type="continuationSeparator" w:id="0">
    <w:p w14:paraId="0309EC5D" w14:textId="77777777" w:rsidR="00922CEA" w:rsidRDefault="00922CE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0645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22CEA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47E0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A5BE2"/>
    <w:rsid w:val="00FB3A59"/>
    <w:rsid w:val="00FB6DC2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F100-9094-41E6-9C03-65804629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4</cp:revision>
  <cp:lastPrinted>2020-02-25T09:53:00Z</cp:lastPrinted>
  <dcterms:created xsi:type="dcterms:W3CDTF">2020-03-25T07:40:00Z</dcterms:created>
  <dcterms:modified xsi:type="dcterms:W3CDTF">2021-06-15T08:33:00Z</dcterms:modified>
</cp:coreProperties>
</file>