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5CF6100B" w:rsidR="00E07609" w:rsidRPr="008F262C" w:rsidRDefault="00BB2FA9" w:rsidP="00681FE1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Polacy kupują luksusowe samochody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24B1F503" w:rsidR="00E07609" w:rsidRPr="00022541" w:rsidRDefault="00BB2FA9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C83798">
              <w:rPr>
                <w:lang w:val="pl-PL"/>
              </w:rPr>
              <w:t>.</w:t>
            </w:r>
            <w:r w:rsidR="008206F4">
              <w:rPr>
                <w:lang w:val="pl-PL"/>
              </w:rPr>
              <w:t>0</w:t>
            </w:r>
            <w:r>
              <w:rPr>
                <w:lang w:val="pl-PL"/>
              </w:rPr>
              <w:t>4</w:t>
            </w:r>
            <w:r w:rsidR="008206F4">
              <w:rPr>
                <w:lang w:val="pl-PL"/>
              </w:rPr>
              <w:t>.2021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63CAA2B4" w14:textId="77777777" w:rsidR="00D07107" w:rsidRDefault="00D07107" w:rsidP="00D07107">
      <w:pPr>
        <w:pStyle w:val="primenaglowek1"/>
        <w:spacing w:before="0"/>
        <w:rPr>
          <w:rFonts w:eastAsia="Times New Roman"/>
        </w:rPr>
      </w:pPr>
    </w:p>
    <w:p w14:paraId="0AB55668" w14:textId="66D266B0" w:rsidR="00BB2FA9" w:rsidRPr="00BB2FA9" w:rsidRDefault="00BB2FA9" w:rsidP="00BB2FA9">
      <w:pPr>
        <w:pStyle w:val="primenaglowek1"/>
        <w:jc w:val="center"/>
        <w:rPr>
          <w:rFonts w:eastAsia="Times New Roman"/>
        </w:rPr>
      </w:pPr>
      <w:r w:rsidRPr="00BB2FA9">
        <w:rPr>
          <w:rFonts w:eastAsia="Times New Roman"/>
        </w:rPr>
        <w:t>Polacy kupują luksusowe samochody</w:t>
      </w:r>
    </w:p>
    <w:p w14:paraId="69C09724" w14:textId="77777777" w:rsidR="00BB2FA9" w:rsidRPr="00BB2FA9" w:rsidRDefault="00BB2FA9" w:rsidP="00BB2FA9">
      <w:pPr>
        <w:pStyle w:val="primenaglowek2"/>
        <w:rPr>
          <w:rFonts w:eastAsia="Times New Roman"/>
        </w:rPr>
      </w:pPr>
      <w:r w:rsidRPr="00BB2FA9">
        <w:rPr>
          <w:rFonts w:eastAsia="Times New Roman"/>
        </w:rPr>
        <w:t>Pandemia zadała mocny cios branży dóbr luksusowych. Mimo to obronną ręką wychodzą z niej luksusowe samochody, kojarzące się z komfortem i wysoką ceną. W dobrej kondycji są też zabytkowe auta, które stanowią prestiżowy produkt inwestycyjny. Które marki  sprzedają się w Polsce najlepiej i dlaczego? Jakie są perspektywy branży na najbliższe lata?</w:t>
      </w:r>
    </w:p>
    <w:p w14:paraId="1C73253C" w14:textId="77777777" w:rsidR="00BB2FA9" w:rsidRPr="00BB2FA9" w:rsidRDefault="00BB2FA9" w:rsidP="00BB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82A85" w14:textId="77777777" w:rsidR="00BB2FA9" w:rsidRPr="00BB2FA9" w:rsidRDefault="00BB2FA9" w:rsidP="00BB2FA9">
      <w:pPr>
        <w:pStyle w:val="primenaglowek2"/>
        <w:rPr>
          <w:rFonts w:eastAsia="Times New Roman"/>
        </w:rPr>
      </w:pPr>
      <w:r w:rsidRPr="00BB2FA9">
        <w:rPr>
          <w:rFonts w:eastAsia="Times New Roman"/>
        </w:rPr>
        <w:t>Dobra luksusowe w czasie Covid-19</w:t>
      </w:r>
    </w:p>
    <w:p w14:paraId="1F33DAE1" w14:textId="77777777" w:rsidR="00BB2FA9" w:rsidRPr="00BB2FA9" w:rsidRDefault="00BB2FA9" w:rsidP="00BB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90D45" w14:textId="30BA4EF9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 xml:space="preserve">Z raportu KPMG wynika, że pomimo trwania globalnej epidemii, wartość majątku gospodarstw domowych w naszym kraju na koniec I połowy 2020 roku wzrosła o 8,4 proc. i wynosiła prawie 2,4 biliona złotych. Szerząca się pandemia i jej gospodarcze skutki spowodowały jednak osłabienie rynku dóbr luksusowych. W porównaniu do roku 2019 zmniejszył się on o 4,9 proc., a jego wartość wyniosła </w:t>
      </w:r>
      <w:r w:rsidRPr="00BB2FA9">
        <w:rPr>
          <w:rFonts w:eastAsia="Times New Roman"/>
        </w:rPr>
        <w:lastRenderedPageBreak/>
        <w:t>24 mld zł. Segmentem, który najbardziej ucierpiał na społecznej izolacji, są luksusowe hotele i SPA. Jego wartość w 2020 roku osiągnęła 748 mln zł, a więc o 50 proc. mniej niż w analogicznym czasie w roku poprzednim.</w:t>
      </w:r>
    </w:p>
    <w:p w14:paraId="4C73D784" w14:textId="7674628C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 xml:space="preserve">Sprzedaż luksusowej biżuterii i zegarków zmniejszyła się w porównaniu do roku 2019 aż o </w:t>
      </w:r>
      <w:r w:rsidRPr="00BB2FA9">
        <w:rPr>
          <w:rFonts w:ascii="Arial" w:eastAsia="Times New Roman" w:hAnsi="Arial" w:cs="Arial"/>
        </w:rPr>
        <w:t>⅓</w:t>
      </w:r>
      <w:r w:rsidRPr="00BB2FA9">
        <w:rPr>
          <w:rFonts w:eastAsia="Times New Roman"/>
        </w:rPr>
        <w:t>, osi</w:t>
      </w:r>
      <w:r w:rsidRPr="00BB2FA9">
        <w:rPr>
          <w:rFonts w:eastAsia="Times New Roman" w:cs="Open Sans"/>
        </w:rPr>
        <w:t>ą</w:t>
      </w:r>
      <w:r w:rsidRPr="00BB2FA9">
        <w:rPr>
          <w:rFonts w:eastAsia="Times New Roman"/>
        </w:rPr>
        <w:t>gaj</w:t>
      </w:r>
      <w:r w:rsidRPr="00BB2FA9">
        <w:rPr>
          <w:rFonts w:eastAsia="Times New Roman" w:cs="Open Sans"/>
        </w:rPr>
        <w:t>ą</w:t>
      </w:r>
      <w:r w:rsidRPr="00BB2FA9">
        <w:rPr>
          <w:rFonts w:eastAsia="Times New Roman"/>
        </w:rPr>
        <w:t>c warto</w:t>
      </w:r>
      <w:r w:rsidRPr="00BB2FA9">
        <w:rPr>
          <w:rFonts w:eastAsia="Times New Roman" w:cs="Open Sans"/>
        </w:rPr>
        <w:t>ść</w:t>
      </w:r>
      <w:r w:rsidRPr="00BB2FA9">
        <w:rPr>
          <w:rFonts w:eastAsia="Times New Roman"/>
        </w:rPr>
        <w:t xml:space="preserve"> 376 mln z</w:t>
      </w:r>
      <w:r w:rsidRPr="00BB2FA9">
        <w:rPr>
          <w:rFonts w:eastAsia="Times New Roman" w:cs="Open Sans"/>
        </w:rPr>
        <w:t>ł</w:t>
      </w:r>
      <w:r w:rsidRPr="00BB2FA9">
        <w:rPr>
          <w:rFonts w:eastAsia="Times New Roman"/>
        </w:rPr>
        <w:t>. Spory spadek odnotowa</w:t>
      </w:r>
      <w:r w:rsidRPr="00BB2FA9">
        <w:rPr>
          <w:rFonts w:eastAsia="Times New Roman" w:cs="Open Sans"/>
        </w:rPr>
        <w:t>ł</w:t>
      </w:r>
      <w:r w:rsidRPr="00BB2FA9">
        <w:rPr>
          <w:rFonts w:eastAsia="Times New Roman"/>
        </w:rPr>
        <w:t xml:space="preserve"> te</w:t>
      </w:r>
      <w:r w:rsidRPr="00BB2FA9">
        <w:rPr>
          <w:rFonts w:eastAsia="Times New Roman" w:cs="Open Sans"/>
        </w:rPr>
        <w:t>ż</w:t>
      </w:r>
      <w:r w:rsidRPr="00BB2FA9">
        <w:rPr>
          <w:rFonts w:eastAsia="Times New Roman"/>
        </w:rPr>
        <w:t xml:space="preserve"> rynek luksusowej odzie</w:t>
      </w:r>
      <w:r w:rsidRPr="00BB2FA9">
        <w:rPr>
          <w:rFonts w:eastAsia="Times New Roman" w:cs="Open Sans"/>
        </w:rPr>
        <w:t>ż</w:t>
      </w:r>
      <w:r w:rsidRPr="00BB2FA9">
        <w:rPr>
          <w:rFonts w:eastAsia="Times New Roman"/>
        </w:rPr>
        <w:t>y i akcesori</w:t>
      </w:r>
      <w:r w:rsidRPr="00BB2FA9">
        <w:rPr>
          <w:rFonts w:eastAsia="Times New Roman" w:cs="Open Sans"/>
        </w:rPr>
        <w:t>ó</w:t>
      </w:r>
      <w:r w:rsidRPr="00BB2FA9">
        <w:rPr>
          <w:rFonts w:eastAsia="Times New Roman"/>
        </w:rPr>
        <w:t>w, kt</w:t>
      </w:r>
      <w:r w:rsidRPr="00BB2FA9">
        <w:rPr>
          <w:rFonts w:eastAsia="Times New Roman" w:cs="Open Sans"/>
        </w:rPr>
        <w:t>ó</w:t>
      </w:r>
      <w:r w:rsidRPr="00BB2FA9">
        <w:rPr>
          <w:rFonts w:eastAsia="Times New Roman"/>
        </w:rPr>
        <w:t>ry w ci</w:t>
      </w:r>
      <w:r w:rsidRPr="00BB2FA9">
        <w:rPr>
          <w:rFonts w:eastAsia="Times New Roman" w:cs="Open Sans"/>
        </w:rPr>
        <w:t>ą</w:t>
      </w:r>
      <w:r w:rsidRPr="00BB2FA9">
        <w:rPr>
          <w:rFonts w:eastAsia="Times New Roman"/>
        </w:rPr>
        <w:t>gu roku zmniejszy</w:t>
      </w:r>
      <w:r w:rsidRPr="00BB2FA9">
        <w:rPr>
          <w:rFonts w:eastAsia="Times New Roman" w:cs="Open Sans"/>
        </w:rPr>
        <w:t>ł</w:t>
      </w:r>
      <w:r w:rsidRPr="00BB2FA9">
        <w:rPr>
          <w:rFonts w:eastAsia="Times New Roman"/>
        </w:rPr>
        <w:t xml:space="preserve"> si</w:t>
      </w:r>
      <w:r w:rsidRPr="00BB2FA9">
        <w:rPr>
          <w:rFonts w:eastAsia="Times New Roman" w:cs="Open Sans"/>
        </w:rPr>
        <w:t>ę</w:t>
      </w:r>
      <w:r w:rsidRPr="00BB2FA9">
        <w:rPr>
          <w:rFonts w:eastAsia="Times New Roman"/>
        </w:rPr>
        <w:t xml:space="preserve"> o 19,9 proc., a jego warto</w:t>
      </w:r>
      <w:r w:rsidRPr="00BB2FA9">
        <w:rPr>
          <w:rFonts w:eastAsia="Times New Roman" w:cs="Open Sans"/>
        </w:rPr>
        <w:t>ść</w:t>
      </w:r>
      <w:r w:rsidRPr="00BB2FA9">
        <w:rPr>
          <w:rFonts w:eastAsia="Times New Roman"/>
        </w:rPr>
        <w:t xml:space="preserve"> r</w:t>
      </w:r>
      <w:r w:rsidRPr="00BB2FA9">
        <w:rPr>
          <w:rFonts w:eastAsia="Times New Roman" w:cs="Open Sans"/>
        </w:rPr>
        <w:t>ó</w:t>
      </w:r>
      <w:r w:rsidRPr="00BB2FA9">
        <w:rPr>
          <w:rFonts w:eastAsia="Times New Roman"/>
        </w:rPr>
        <w:t>wna by</w:t>
      </w:r>
      <w:r w:rsidRPr="00BB2FA9">
        <w:rPr>
          <w:rFonts w:eastAsia="Times New Roman" w:cs="Open Sans"/>
        </w:rPr>
        <w:t>ł</w:t>
      </w:r>
      <w:r w:rsidRPr="00BB2FA9">
        <w:rPr>
          <w:rFonts w:eastAsia="Times New Roman"/>
        </w:rPr>
        <w:t>a 2,5 mld z</w:t>
      </w:r>
      <w:r w:rsidRPr="00BB2FA9">
        <w:rPr>
          <w:rFonts w:eastAsia="Times New Roman" w:cs="Open Sans"/>
        </w:rPr>
        <w:t>ł</w:t>
      </w:r>
      <w:r w:rsidRPr="00BB2FA9">
        <w:rPr>
          <w:rFonts w:eastAsia="Times New Roman"/>
        </w:rPr>
        <w:t>. Sprzeda</w:t>
      </w:r>
      <w:r w:rsidRPr="00BB2FA9">
        <w:rPr>
          <w:rFonts w:eastAsia="Times New Roman" w:cs="Open Sans"/>
        </w:rPr>
        <w:t>ż</w:t>
      </w:r>
      <w:r w:rsidRPr="00BB2FA9">
        <w:rPr>
          <w:rFonts w:eastAsia="Times New Roman"/>
        </w:rPr>
        <w:t xml:space="preserve"> luksusowego obuwia spadła o 20,7 proc. (415 mln zł), luksusowej odzieży o 20,3 proc. (1,6 mld zł), okularów o 19,4 proc., a pozostałych dodatków premium o 14,4 proc. W 2020 roku niższa o 16,6 proc. w porównaniu do 2019 roku była również wartość luksusowych kosmetyków i perfum (833 mln zł), a o 15,2 proc. zmniejszyła się sprzedaż luksusowych alkoholi. Najniższy spadek wartości odnotowały z kolei samochody luksusowe i premium. Ich sprzedaż spadła zaledwie o 1,6 proc. w relacji rok do roku (KPMG, Rynek dóbr luksusowych w Polsce. Edycja XI).</w:t>
      </w:r>
    </w:p>
    <w:p w14:paraId="131FD213" w14:textId="77777777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  <w:i/>
          <w:iCs/>
        </w:rPr>
        <w:t xml:space="preserve">- Obecnie mamy do czynienia z lekkim spowolnieniem rynku dóbr luksusowych, wywołanym ogólnoświatowym kryzysem. Na wynik całego sektora największy wpływ ma segment luksusowych hoteli i SPA, które już od długiego czasu pozostają zamknięte. W najlepszej sytuacji są marki samochodów premium, na które popyt wciąż jest bardzo wysoki - </w:t>
      </w:r>
      <w:r w:rsidRPr="00BB2FA9">
        <w:rPr>
          <w:rFonts w:eastAsia="Times New Roman"/>
        </w:rPr>
        <w:t>mówi Cezary Chybowski, prezes spółki Reliance Polska, właściciel portalu inwestycyjnego Obligain. -</w:t>
      </w:r>
      <w:r w:rsidRPr="00BB2FA9">
        <w:rPr>
          <w:rFonts w:eastAsia="Times New Roman"/>
          <w:i/>
          <w:iCs/>
        </w:rPr>
        <w:t xml:space="preserve"> Podobnie jak w przypadku innych kryzysów, tak i teraz największe firmy jeszcze bardziej rosną w siłę, a małe tracą na znaczeniu bądź są całkowicie eliminowane przez rynek </w:t>
      </w:r>
      <w:r w:rsidRPr="00BB2FA9">
        <w:rPr>
          <w:rFonts w:eastAsia="Times New Roman"/>
        </w:rPr>
        <w:t>- dodaje.</w:t>
      </w:r>
    </w:p>
    <w:p w14:paraId="46CAE4B0" w14:textId="77777777" w:rsidR="00BB2FA9" w:rsidRPr="00BB2FA9" w:rsidRDefault="00BB2FA9" w:rsidP="00BB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47D27" w14:textId="3906D8FE" w:rsidR="00BB2FA9" w:rsidRPr="00BB2FA9" w:rsidRDefault="00BB2FA9" w:rsidP="00BB2FA9">
      <w:pPr>
        <w:pStyle w:val="primenaglowek2"/>
        <w:rPr>
          <w:rFonts w:eastAsia="Times New Roman"/>
        </w:rPr>
      </w:pPr>
      <w:r w:rsidRPr="00BB2FA9">
        <w:rPr>
          <w:rFonts w:eastAsia="Times New Roman"/>
        </w:rPr>
        <w:lastRenderedPageBreak/>
        <w:t>Drogie samochody odporne na wirusa</w:t>
      </w:r>
    </w:p>
    <w:p w14:paraId="0ECF0A5F" w14:textId="56BF6B67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 xml:space="preserve">Największym segmentem dóbr luksusowych w Polsce są samochody marek premium i luksusowych. W 2020 roku zarejestrowano ich w naszym kraju 76,6 tys., a ich całkowita wartość wyniosła 16,3 mln zł. Jak podaje KPMG, w całym minionym roku sprzedano 207 samochodów uznawanych za luksusowe. Wśród nich znalazło się m.in. 58 pojazdów marki Bentley, 53 </w:t>
      </w:r>
      <w:r w:rsidRPr="00BB2FA9">
        <w:rPr>
          <w:rFonts w:eastAsia="Times New Roman"/>
          <w:color w:val="222222"/>
        </w:rPr>
        <w:t>Lamborghini, 31 Maserati, 31 Ferrari, 12 samochodów marki Rolls-Royce, 9 marki McLaren, 3 samochody Morgan, i 1 Lotus.</w:t>
      </w:r>
    </w:p>
    <w:p w14:paraId="64B12538" w14:textId="51CD19B6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  <w:color w:val="222222"/>
        </w:rPr>
        <w:t>Jeżeli chodzi o samochody klasy premium, to jak podaje IBMR Samar ich sprzedaż w 2020 roku zmniejszyła się względem analogicznego okresu jedynie o 4,63 proc. Przy czym niektóre marki odnotowały wyższe wskaźniki sprzedaży niż przed nastaniem epidemii. W tym gronie znalazła się marka Audi, która w całym ubiegłym roku sprzedała 15 602 sztuk samochodów premium, a więc o 13,25 proc. więcej niż w 2019 roku. Najczęściej kupowanym modelem był Q5 (2902 sztuki), następnie Q3 (2216 sztuk) oraz A3 (2091 sztuk). Znaczący wzrost odnotował również Lexus, którego sprzedaż względem roku 2019 zwiększyła się o 12,57 proc.</w:t>
      </w:r>
    </w:p>
    <w:p w14:paraId="0C85E2D1" w14:textId="446029B8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  <w:color w:val="222222"/>
        </w:rPr>
        <w:t xml:space="preserve">Pomimo nieznacznego spadku sprzedaży, liderem marek premium pozostaje Mercedes. Koncern ten zarejestrował w ubiegłym roku 19 653 pojazdy, a więc o 6,74 proc. mniej niż w 2019. Najlepiej sprzedawała się klasa A (2808 sztuk), na drugim miejscu GLC (2078 sztuk) oraz GLE (1953 sztuki). Równie popularną marką premium jest BMW. W 2020 roku zarejestrowano takich samochodów 18 290 (spadek o 11,64 proc. r./r.). Najbardziej popularne modele to BMW serii 3 </w:t>
      </w:r>
      <w:r w:rsidRPr="00BB2FA9">
        <w:rPr>
          <w:rFonts w:eastAsia="Times New Roman"/>
          <w:color w:val="222222"/>
        </w:rPr>
        <w:lastRenderedPageBreak/>
        <w:t>(3465 sztuk), X3 (2262 sztuki) oraz BMW X5 (2241 sztuk). W 2020 roku na wysokim poziomie utrzymywała się też sprzedaż Volvo, w ciągu roku sprzedano 10 926 sztuk, a więc zaledwie o 0,45 proc. mniej niż przed rokiem. Największym zainteresowaniem cieszył się model XC60 (4533 sztuki), następnie XC40 (2482 sztuki) i XC90 (1099 sztuk). (Dane IBMAR Samar).</w:t>
      </w:r>
    </w:p>
    <w:p w14:paraId="4F407389" w14:textId="382D4013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  <w:b/>
          <w:bCs/>
          <w:color w:val="222222"/>
        </w:rPr>
        <w:t xml:space="preserve">- </w:t>
      </w:r>
      <w:r w:rsidRPr="00BB2FA9">
        <w:rPr>
          <w:rFonts w:eastAsia="Times New Roman"/>
          <w:i/>
          <w:iCs/>
          <w:color w:val="222222"/>
        </w:rPr>
        <w:t>W Polsce mieszka coraz więcej osób zamożnych, które stać na zakup samochodów klasy premium czy nawet tych uznawanych za kategorię luksusową. Wciąż największą popularnością cieszą się auta marki Mercedes i BMW, które wielu kojarzą się z niezawodnością, wyjątkowym designem oraz prestiżem, a przy tym ich najtańsze modele są już w zasięgu ręki wielu Polaków. Sądzę, że w perspektywie najbliższych lat rynek tego typu samochodów będzie w naszym kraju coraz silniejszy. Pandemia pokazała nam, że najdroższe dobra luksusowe w czasie kryzysu mają się wyjątkowo dobrze i są odporne na wszelkiego typu zawirowania</w:t>
      </w:r>
      <w:r w:rsidRPr="00BB2FA9">
        <w:rPr>
          <w:rFonts w:eastAsia="Times New Roman"/>
          <w:color w:val="222222"/>
        </w:rPr>
        <w:t xml:space="preserve"> - zwraca uwagę Cezary Chybowski.</w:t>
      </w:r>
    </w:p>
    <w:p w14:paraId="769D31BF" w14:textId="77777777" w:rsidR="00BB2FA9" w:rsidRPr="00BB2FA9" w:rsidRDefault="00BB2FA9" w:rsidP="00BB2FA9">
      <w:pPr>
        <w:pStyle w:val="primenaglowek2"/>
        <w:rPr>
          <w:rFonts w:eastAsia="Times New Roman"/>
        </w:rPr>
      </w:pPr>
      <w:r w:rsidRPr="00BB2FA9">
        <w:rPr>
          <w:rFonts w:eastAsia="Times New Roman"/>
          <w:shd w:val="clear" w:color="auto" w:fill="FFFFFF"/>
        </w:rPr>
        <w:t>Luksusowy produkt inwestycyjny</w:t>
      </w:r>
    </w:p>
    <w:p w14:paraId="078A6A92" w14:textId="77777777" w:rsidR="00BB2FA9" w:rsidRPr="00BB2FA9" w:rsidRDefault="00BB2FA9" w:rsidP="00BB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71204" w14:textId="77777777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>Poczucie prestiżu daje nie tylko kupowanie najnowszych modeli marek luksusowych dostępnych w salonach. Prestiż to przede wszystkim unikatowość danego egzemplarza, trudność jego pozyskania i oczywiście odpowiednio wysoka cena, świadcząca o tym, że na zakup danego auta mogą pozwolić sobie wyłącznie osoby wyjątkowo zamożne.  Knight Frank Luxury Investment Index podaje, że w ciągu 10 lat (lata 2008-2018) inwestowanie w zabytkowe samochody przynosiło najwyższy dochód spośród innych alternatywnych źródeł aktywów równy 334 proc., co dawało roczny zwrot na poziomie 16 proc.</w:t>
      </w:r>
    </w:p>
    <w:p w14:paraId="49EB1F62" w14:textId="77777777" w:rsidR="00BB2FA9" w:rsidRPr="00BB2FA9" w:rsidRDefault="00BB2FA9" w:rsidP="00BB2FA9">
      <w:pPr>
        <w:pStyle w:val="primepapierstyl"/>
        <w:rPr>
          <w:rFonts w:eastAsia="Times New Roman"/>
        </w:rPr>
      </w:pPr>
    </w:p>
    <w:p w14:paraId="4D710003" w14:textId="3AFFF6A3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>Jak czytamy w najnowszym raporcie Knight Frank, po dość powolnym 2019, gdy wartość indeksu obliczanego dla klasycznych samochodów spadła o 7 proc., rok 2020 r. pomimo pandemii przyniósł wzrost indeksu o 6 proc., a najlepiej sprzedającym się autem było Ferrari. Z danych firmy Hagerty wynika, że najdroższy wylicytowany w ubiegłym roku pojazd to Bugatti Type 59 Sports z 1934 roku, który został sprzedany za około 46,74 mln zł. Drugie miejsce zajął Bugatti Type 57S Atalante z 1937 roku, sprzedany za ok. 38,5 mln zł. W czołówce znalazł się też Bugatti Type 55 Super Sport z 1932 roku, nabyty za około 26,2 mln zł.</w:t>
      </w:r>
    </w:p>
    <w:p w14:paraId="031A5254" w14:textId="77777777" w:rsidR="00BB2FA9" w:rsidRPr="00BB2FA9" w:rsidRDefault="00BB2FA9" w:rsidP="00BB2FA9">
      <w:pPr>
        <w:pStyle w:val="primepapierstyl"/>
        <w:rPr>
          <w:rFonts w:eastAsia="Times New Roman"/>
        </w:rPr>
      </w:pPr>
      <w:r w:rsidRPr="00BB2FA9">
        <w:rPr>
          <w:rFonts w:eastAsia="Times New Roman"/>
        </w:rPr>
        <w:t xml:space="preserve">- </w:t>
      </w:r>
      <w:r w:rsidRPr="00BB2FA9">
        <w:rPr>
          <w:rFonts w:eastAsia="Times New Roman"/>
          <w:i/>
          <w:iCs/>
        </w:rPr>
        <w:t>W porównaniu do innych rynków europejskich w Polsce inwestowanie w zabytkowe modele samochodów rozpoczęło się ze znacznym opóźnieniem, dlatego wciąż jest to w naszym kraju rynek młody, ale dynamicznie rozwijający się</w:t>
      </w:r>
      <w:r w:rsidRPr="00BB2FA9">
        <w:rPr>
          <w:rFonts w:eastAsia="Times New Roman"/>
        </w:rPr>
        <w:t>.</w:t>
      </w:r>
      <w:r w:rsidRPr="00BB2FA9">
        <w:rPr>
          <w:rFonts w:eastAsia="Times New Roman"/>
          <w:i/>
          <w:iCs/>
        </w:rPr>
        <w:t xml:space="preserve"> Najlepiej sprzedającymi się markami są zabytkowe modele mercedesa i jaguary</w:t>
      </w:r>
      <w:r w:rsidRPr="00BB2FA9">
        <w:rPr>
          <w:rFonts w:eastAsia="Times New Roman"/>
        </w:rPr>
        <w:t xml:space="preserve"> - mówi Cezary Chybowski, właściciel portalu inwestycyjnego Obligain. - </w:t>
      </w:r>
      <w:r w:rsidRPr="00BB2FA9">
        <w:rPr>
          <w:rFonts w:eastAsia="Times New Roman"/>
          <w:i/>
          <w:iCs/>
        </w:rPr>
        <w:t>Pomimo tego, że klasyczne auta należą do inwestycji, które mogą przynieść oczekiwaną stopę zwrotu, są to inwestycje wysokiego ryzyka - na tym trzeba się po prostu znać, aby nie paść ofiarą oszustwa</w:t>
      </w:r>
      <w:r w:rsidRPr="00BB2FA9">
        <w:rPr>
          <w:rFonts w:eastAsia="Times New Roman"/>
        </w:rPr>
        <w:t xml:space="preserve">. </w:t>
      </w:r>
      <w:r w:rsidRPr="00BB2FA9">
        <w:rPr>
          <w:rFonts w:eastAsia="Times New Roman"/>
          <w:i/>
          <w:iCs/>
        </w:rPr>
        <w:t>Do najważniejszych parametrów, które służą określeniu wartości zabytkowego samochodu, należą m.in. prestiż danej marki, wyjątkowość konkretnego egzemplarza, rok produkcji, liczba wyprodukowanych sztuk, stopień oryginalności czy przebieg auta.</w:t>
      </w:r>
      <w:r w:rsidRPr="00BB2FA9">
        <w:rPr>
          <w:rFonts w:eastAsia="Times New Roman"/>
        </w:rPr>
        <w:t xml:space="preserve"> </w:t>
      </w:r>
      <w:r w:rsidRPr="00BB2FA9">
        <w:rPr>
          <w:rFonts w:eastAsia="Times New Roman"/>
          <w:i/>
          <w:iCs/>
        </w:rPr>
        <w:t xml:space="preserve">Na cenę wpływa również historia danego modelu. Jeżeli należał kiedyś do znanej osobistości, jego wartość automatycznie rośnie. Nie bez znaczenia pozostaje również obecność w kulturze popularnej. Pojawienie się konkretnego modelu auta w znanej produkcji filmowej, może kilkakrotnie podnieść jego wartość. Inwestując w samochody </w:t>
      </w:r>
      <w:r w:rsidRPr="00BB2FA9">
        <w:rPr>
          <w:rFonts w:eastAsia="Times New Roman"/>
          <w:i/>
          <w:iCs/>
        </w:rPr>
        <w:lastRenderedPageBreak/>
        <w:t xml:space="preserve">klasyczne, trzeba pamiętać też o tym, że jest to inwestycja emocjonalna, która przede wszystkim ma sprawiać nam przyjemność i cieszyć oko. Takiego auta nie można trzymać zamkniętego w garażu, należy z niego korzystać, aby jego stan nie uległ pogorszeniu, a tym samym, aby z upływem czasu nie stracił na wartości </w:t>
      </w:r>
      <w:r w:rsidRPr="00BB2FA9">
        <w:rPr>
          <w:rFonts w:eastAsia="Times New Roman"/>
        </w:rPr>
        <w:t>- dodaje.</w:t>
      </w:r>
    </w:p>
    <w:p w14:paraId="5221F683" w14:textId="77777777" w:rsidR="00906609" w:rsidRPr="00BB2FA9" w:rsidRDefault="00906609" w:rsidP="00D07107">
      <w:pPr>
        <w:pStyle w:val="primepapierstyl"/>
        <w:rPr>
          <w:rFonts w:eastAsia="Times New Roman"/>
          <w:lang w:val="pl-PL"/>
        </w:rPr>
      </w:pPr>
    </w:p>
    <w:p w14:paraId="602F513F" w14:textId="406E1E37" w:rsidR="00906609" w:rsidRPr="00D07107" w:rsidRDefault="00D07107" w:rsidP="00D07107">
      <w:pPr>
        <w:pStyle w:val="primepapierstyl"/>
        <w:rPr>
          <w:rFonts w:eastAsia="Times New Roman"/>
          <w:b/>
          <w:bCs/>
        </w:rPr>
      </w:pPr>
      <w:r w:rsidRPr="00D07107">
        <w:rPr>
          <w:rFonts w:eastAsia="Times New Roman"/>
          <w:b/>
          <w:bCs/>
        </w:rPr>
        <w:t>Więcej informacji:</w:t>
      </w:r>
    </w:p>
    <w:p w14:paraId="067AF0ED" w14:textId="0E207763" w:rsidR="008206F4" w:rsidRPr="00A71D85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Aleksandra Maśnica</w:t>
      </w:r>
    </w:p>
    <w:p w14:paraId="357957EA" w14:textId="77777777" w:rsidR="008206F4" w:rsidRPr="00A71D85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e-mail: aleksandra.masnica@primetimepr.pl</w:t>
      </w:r>
    </w:p>
    <w:p w14:paraId="176D954E" w14:textId="273069CB" w:rsidR="00A71D85" w:rsidRPr="00D8064A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tel. 12 313 00 87</w:t>
      </w:r>
    </w:p>
    <w:sectPr w:rsidR="00A71D85" w:rsidRPr="00D8064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BBE3" w14:textId="77777777" w:rsidR="00D45758" w:rsidRDefault="00D45758" w:rsidP="00EB07E0">
      <w:pPr>
        <w:spacing w:after="0" w:line="240" w:lineRule="auto"/>
      </w:pPr>
      <w:r>
        <w:separator/>
      </w:r>
    </w:p>
  </w:endnote>
  <w:endnote w:type="continuationSeparator" w:id="0">
    <w:p w14:paraId="0C3A33EA" w14:textId="77777777" w:rsidR="00D45758" w:rsidRDefault="00D4575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EF41" w14:textId="77777777" w:rsidR="00D45758" w:rsidRDefault="00D45758" w:rsidP="00EB07E0">
      <w:pPr>
        <w:spacing w:after="0" w:line="240" w:lineRule="auto"/>
      </w:pPr>
      <w:r>
        <w:separator/>
      </w:r>
    </w:p>
  </w:footnote>
  <w:footnote w:type="continuationSeparator" w:id="0">
    <w:p w14:paraId="4C487FC9" w14:textId="77777777" w:rsidR="00D45758" w:rsidRDefault="00D4575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605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605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6745"/>
    <w:rsid w:val="00007D62"/>
    <w:rsid w:val="000136DC"/>
    <w:rsid w:val="00022541"/>
    <w:rsid w:val="00025CB2"/>
    <w:rsid w:val="00026FFB"/>
    <w:rsid w:val="0003064D"/>
    <w:rsid w:val="000342EC"/>
    <w:rsid w:val="000472DF"/>
    <w:rsid w:val="00050E54"/>
    <w:rsid w:val="00053D1F"/>
    <w:rsid w:val="0005773B"/>
    <w:rsid w:val="000A621C"/>
    <w:rsid w:val="000B0CFA"/>
    <w:rsid w:val="000B6BC4"/>
    <w:rsid w:val="000C23A9"/>
    <w:rsid w:val="00113B9E"/>
    <w:rsid w:val="001278C4"/>
    <w:rsid w:val="0013180F"/>
    <w:rsid w:val="001338FF"/>
    <w:rsid w:val="00140C03"/>
    <w:rsid w:val="001433D0"/>
    <w:rsid w:val="001466F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2942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26DC"/>
    <w:rsid w:val="003E6F57"/>
    <w:rsid w:val="003F2354"/>
    <w:rsid w:val="004070EE"/>
    <w:rsid w:val="00410B73"/>
    <w:rsid w:val="00415459"/>
    <w:rsid w:val="00415D27"/>
    <w:rsid w:val="00437A23"/>
    <w:rsid w:val="004542D0"/>
    <w:rsid w:val="0046371F"/>
    <w:rsid w:val="004953F1"/>
    <w:rsid w:val="004A23A8"/>
    <w:rsid w:val="004A259A"/>
    <w:rsid w:val="004C6339"/>
    <w:rsid w:val="004C6726"/>
    <w:rsid w:val="004E01A7"/>
    <w:rsid w:val="004F43E4"/>
    <w:rsid w:val="0052106A"/>
    <w:rsid w:val="00534580"/>
    <w:rsid w:val="00541C52"/>
    <w:rsid w:val="00551A21"/>
    <w:rsid w:val="005820EA"/>
    <w:rsid w:val="005877A7"/>
    <w:rsid w:val="00594490"/>
    <w:rsid w:val="00595B41"/>
    <w:rsid w:val="005A28B8"/>
    <w:rsid w:val="005B2715"/>
    <w:rsid w:val="005D6EE1"/>
    <w:rsid w:val="005E75EF"/>
    <w:rsid w:val="005F22EE"/>
    <w:rsid w:val="005F76F0"/>
    <w:rsid w:val="00601024"/>
    <w:rsid w:val="00604297"/>
    <w:rsid w:val="006062E4"/>
    <w:rsid w:val="00621F08"/>
    <w:rsid w:val="00643F65"/>
    <w:rsid w:val="0064517E"/>
    <w:rsid w:val="006563EE"/>
    <w:rsid w:val="00681FE1"/>
    <w:rsid w:val="00683618"/>
    <w:rsid w:val="006913AD"/>
    <w:rsid w:val="006936F8"/>
    <w:rsid w:val="0069791A"/>
    <w:rsid w:val="006C1EDF"/>
    <w:rsid w:val="006C5107"/>
    <w:rsid w:val="006E2278"/>
    <w:rsid w:val="006E3967"/>
    <w:rsid w:val="007222CA"/>
    <w:rsid w:val="00725651"/>
    <w:rsid w:val="00754712"/>
    <w:rsid w:val="007555D3"/>
    <w:rsid w:val="00757675"/>
    <w:rsid w:val="0078047C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6F4"/>
    <w:rsid w:val="00820C31"/>
    <w:rsid w:val="008267E4"/>
    <w:rsid w:val="008A5D98"/>
    <w:rsid w:val="008B148F"/>
    <w:rsid w:val="008B5000"/>
    <w:rsid w:val="008F262C"/>
    <w:rsid w:val="00900E48"/>
    <w:rsid w:val="009017D9"/>
    <w:rsid w:val="009049C0"/>
    <w:rsid w:val="00906052"/>
    <w:rsid w:val="00906609"/>
    <w:rsid w:val="00916A17"/>
    <w:rsid w:val="00947A0A"/>
    <w:rsid w:val="009569B5"/>
    <w:rsid w:val="009616CE"/>
    <w:rsid w:val="00963CC6"/>
    <w:rsid w:val="00970A3B"/>
    <w:rsid w:val="009849CA"/>
    <w:rsid w:val="009858D2"/>
    <w:rsid w:val="00993FA4"/>
    <w:rsid w:val="009A544F"/>
    <w:rsid w:val="009A54B6"/>
    <w:rsid w:val="009A6BCA"/>
    <w:rsid w:val="009D013C"/>
    <w:rsid w:val="009D15C7"/>
    <w:rsid w:val="009E2155"/>
    <w:rsid w:val="009E69FA"/>
    <w:rsid w:val="009F21DC"/>
    <w:rsid w:val="009F2721"/>
    <w:rsid w:val="00A00F32"/>
    <w:rsid w:val="00A10FCD"/>
    <w:rsid w:val="00A32152"/>
    <w:rsid w:val="00A56AC6"/>
    <w:rsid w:val="00A57D5C"/>
    <w:rsid w:val="00A6114A"/>
    <w:rsid w:val="00A71D85"/>
    <w:rsid w:val="00A81750"/>
    <w:rsid w:val="00AB3055"/>
    <w:rsid w:val="00AB6031"/>
    <w:rsid w:val="00AB605E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96E32"/>
    <w:rsid w:val="00BA17A6"/>
    <w:rsid w:val="00BA376B"/>
    <w:rsid w:val="00BB2FA9"/>
    <w:rsid w:val="00BC0053"/>
    <w:rsid w:val="00BC06CB"/>
    <w:rsid w:val="00BC28EF"/>
    <w:rsid w:val="00BE3677"/>
    <w:rsid w:val="00C03052"/>
    <w:rsid w:val="00C0660A"/>
    <w:rsid w:val="00C21E3E"/>
    <w:rsid w:val="00C317D5"/>
    <w:rsid w:val="00C3413A"/>
    <w:rsid w:val="00C402CE"/>
    <w:rsid w:val="00C41654"/>
    <w:rsid w:val="00C44B13"/>
    <w:rsid w:val="00C473E5"/>
    <w:rsid w:val="00C83798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07107"/>
    <w:rsid w:val="00D1088A"/>
    <w:rsid w:val="00D14F89"/>
    <w:rsid w:val="00D165FC"/>
    <w:rsid w:val="00D211C8"/>
    <w:rsid w:val="00D42716"/>
    <w:rsid w:val="00D45758"/>
    <w:rsid w:val="00D52E6B"/>
    <w:rsid w:val="00D5711F"/>
    <w:rsid w:val="00D617AA"/>
    <w:rsid w:val="00D731FB"/>
    <w:rsid w:val="00D8064A"/>
    <w:rsid w:val="00D8067D"/>
    <w:rsid w:val="00D927AE"/>
    <w:rsid w:val="00DA3BB6"/>
    <w:rsid w:val="00DA5F0A"/>
    <w:rsid w:val="00DC2E99"/>
    <w:rsid w:val="00DC36C0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21413"/>
    <w:rsid w:val="00E32CE8"/>
    <w:rsid w:val="00E34517"/>
    <w:rsid w:val="00E427C2"/>
    <w:rsid w:val="00E602A9"/>
    <w:rsid w:val="00E66A87"/>
    <w:rsid w:val="00E732B8"/>
    <w:rsid w:val="00E77445"/>
    <w:rsid w:val="00E905A9"/>
    <w:rsid w:val="00E93671"/>
    <w:rsid w:val="00E95E68"/>
    <w:rsid w:val="00EA71A9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33B93"/>
    <w:rsid w:val="00F36CEE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D401-4126-4CCE-93B4-5DAB890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2</cp:revision>
  <cp:lastPrinted>2019-11-15T10:04:00Z</cp:lastPrinted>
  <dcterms:created xsi:type="dcterms:W3CDTF">2021-04-30T09:21:00Z</dcterms:created>
  <dcterms:modified xsi:type="dcterms:W3CDTF">2021-04-30T09:21:00Z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-180609880</vt:i4>
  </property>
</Properties>
</file>