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334F3BBE" w:rsidR="00E07609" w:rsidRPr="0000744D" w:rsidRDefault="00632CB0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Mamy większe mieszkania, ale wciąż jesteśmy w tyle Europy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4FA48999" w:rsidR="00E07609" w:rsidRPr="006B7A6A" w:rsidRDefault="00632CB0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 w:rsidR="00753C76">
              <w:rPr>
                <w:lang w:val="pl-PL"/>
              </w:rPr>
              <w:t>7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12235D" w14:textId="3F5AC594" w:rsidR="00632CB0" w:rsidRPr="00632CB0" w:rsidRDefault="00632CB0" w:rsidP="00632CB0">
      <w:pPr>
        <w:pStyle w:val="primenaglowek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>Mamy większe mieszkania, ale wciąż jesteśmy w tyle Europy</w:t>
      </w:r>
    </w:p>
    <w:p w14:paraId="167A3030" w14:textId="62100262" w:rsidR="00632CB0" w:rsidRPr="00632CB0" w:rsidRDefault="00632CB0" w:rsidP="00632CB0">
      <w:pPr>
        <w:pStyle w:val="primenaglowek2"/>
        <w:rPr>
          <w:rFonts w:eastAsia="Times New Roman"/>
        </w:rPr>
      </w:pPr>
      <w:r w:rsidRPr="00632CB0">
        <w:rPr>
          <w:rFonts w:eastAsia="Times New Roman"/>
        </w:rPr>
        <w:t>Pomimo poprawy sytuacji mieszkaniowej, polskie lokale na przestrzeni 5 lat “powiększyły się” zaledwie o 2 metry. Pod względem powierzchni, wciąż daleko nam do takich krajów jak Dania, Szwecja czy Niemcy i wszystko wskazuje na to, że w najbliższych latach trend ten nie ulegnie zmianie. Nadal najbardziej popularne będą mieszkania z dwoma pokojami.</w:t>
      </w:r>
    </w:p>
    <w:p w14:paraId="68976612" w14:textId="77777777" w:rsidR="00632CB0" w:rsidRPr="00632CB0" w:rsidRDefault="00632CB0" w:rsidP="00632CB0">
      <w:pPr>
        <w:pStyle w:val="primenaglowek2"/>
        <w:rPr>
          <w:rFonts w:eastAsia="Times New Roman"/>
        </w:rPr>
      </w:pPr>
      <w:r w:rsidRPr="00632CB0">
        <w:rPr>
          <w:rFonts w:eastAsia="Times New Roman"/>
        </w:rPr>
        <w:t>Daleko za Europą</w:t>
      </w:r>
    </w:p>
    <w:p w14:paraId="1333A911" w14:textId="77777777" w:rsidR="00632CB0" w:rsidRPr="00632CB0" w:rsidRDefault="00632CB0" w:rsidP="00632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A729C" w14:textId="763F85C0" w:rsidR="00632CB0" w:rsidRPr="00632CB0" w:rsidRDefault="00632CB0" w:rsidP="00632CB0">
      <w:pPr>
        <w:pStyle w:val="primepapierstyl"/>
        <w:rPr>
          <w:rFonts w:eastAsia="Times New Roman"/>
        </w:rPr>
      </w:pPr>
      <w:r w:rsidRPr="00632CB0">
        <w:rPr>
          <w:rFonts w:eastAsia="Times New Roman"/>
        </w:rPr>
        <w:t xml:space="preserve">Ze wstępnych danych opublikowanych przez GUS za 2019 r. wynika, że na jednego obywatela przypada w naszym kraju 28,7 mkw. To o 2 metry więcej niż przed 5 laty, a o ponad 4 metry więcej niż 10 lat temu. Jednak na tle europejskich statystyk jest to wciąż słaby wynik. Jak podaje HRE Investments, analizując ostatnie dostępne dane z różnych krajów Europy, największy metraż przypada na mieszkańca Danii i jest to 60,9 mkw. Równie dużą powierzchnią mogą cieszyć się obywatele Luksemburga (58,5 </w:t>
      </w:r>
      <w:r w:rsidRPr="00632CB0">
        <w:rPr>
          <w:rFonts w:eastAsia="Times New Roman"/>
        </w:rPr>
        <w:lastRenderedPageBreak/>
        <w:t>mkw. na osobę), a także Szwecji (56,2 mkw.) czy Niemiec (52 mkw.). Większy metraż od Polski ma też 20 innych państw, w tym Wielka Brytania (41,1 mkw.), Włochy (40,1 mkw.), Hiszpania (39,7 mkw.) czy Czechy (33,3 mkw.). Mniej powierzchni niż w Polsce przypada tylko na mieszkańca Bułgarii (27,7 mkw.), Litwy (26,2 mkw.) oraz Rumunii (17 mkw.). (Analiza HRE Investments 04.06.2020 r.)</w:t>
      </w:r>
    </w:p>
    <w:p w14:paraId="572B6F3C" w14:textId="77777777" w:rsidR="00632CB0" w:rsidRPr="00632CB0" w:rsidRDefault="00632CB0" w:rsidP="00632CB0">
      <w:pPr>
        <w:pStyle w:val="primenaglowek2"/>
        <w:rPr>
          <w:rFonts w:eastAsia="Times New Roman"/>
        </w:rPr>
      </w:pPr>
      <w:r w:rsidRPr="00632CB0">
        <w:rPr>
          <w:rFonts w:eastAsia="Times New Roman"/>
        </w:rPr>
        <w:t>Dominują dwa pokoje</w:t>
      </w:r>
    </w:p>
    <w:p w14:paraId="359409FE" w14:textId="7DFB086A" w:rsidR="00632CB0" w:rsidRPr="00632CB0" w:rsidRDefault="00632CB0" w:rsidP="00632CB0">
      <w:pPr>
        <w:pStyle w:val="primepapierstyl"/>
        <w:rPr>
          <w:rFonts w:eastAsia="Times New Roman"/>
        </w:rPr>
      </w:pPr>
      <w:r w:rsidRPr="00632CB0">
        <w:rPr>
          <w:rFonts w:eastAsia="Times New Roman"/>
          <w:lang w:val="pl-PL"/>
        </w:rPr>
        <w:t xml:space="preserve">Z danych portalu RynekPierwotny.pl wynika, że w Polsce największą popularnością cieszą się mieszkania dwupokojowe. </w:t>
      </w:r>
      <w:r w:rsidRPr="00632CB0">
        <w:rPr>
          <w:rFonts w:eastAsia="Times New Roman"/>
        </w:rPr>
        <w:t>Stanowią one 43 proc. ogólnej sprzedaży deweloperskiej. Na drugim miejscu są lokale trzypokojowe o powierzchni 50-55 mkw., które stanowią 34 proc. całkowitej liczby transakcji zawieranych przez deweloperów (RynekPierwotny.pl).</w:t>
      </w:r>
    </w:p>
    <w:p w14:paraId="0B502B4B" w14:textId="77777777" w:rsidR="00632CB0" w:rsidRPr="00632CB0" w:rsidRDefault="00632CB0" w:rsidP="00632CB0">
      <w:pPr>
        <w:pStyle w:val="primepapierstyl"/>
        <w:rPr>
          <w:rFonts w:eastAsia="Times New Roman"/>
        </w:rPr>
      </w:pPr>
      <w:r w:rsidRPr="00632CB0">
        <w:rPr>
          <w:rFonts w:eastAsia="Times New Roman"/>
          <w:lang w:val="pl-PL"/>
        </w:rPr>
        <w:t xml:space="preserve">- </w:t>
      </w:r>
      <w:r w:rsidRPr="00632CB0">
        <w:rPr>
          <w:rFonts w:eastAsia="Times New Roman"/>
          <w:i/>
          <w:iCs/>
          <w:lang w:val="pl-PL"/>
        </w:rPr>
        <w:t xml:space="preserve">Zainteresowanie mieszkaniami 2-pokojowymi wynika przede wszystkim z niższej ceny takich lokali w porównaniu z tymi, które posiadają trzy lub cztery pokoje. </w:t>
      </w:r>
      <w:r w:rsidRPr="00632CB0">
        <w:rPr>
          <w:rFonts w:eastAsia="Times New Roman"/>
          <w:i/>
          <w:iCs/>
        </w:rPr>
        <w:t>Poza tym takie lokale to bardzo korzystna inwestycja, gdyż łatwiej je sprzedać czy wynająć. Dla osób wspomagających się kredytem, mniejszy metraż oznacza możliwość zaciągnięcia niższej pożyczki i jej szybszą spłatę</w:t>
      </w:r>
      <w:r w:rsidRPr="00632CB0">
        <w:rPr>
          <w:rFonts w:eastAsia="Times New Roman"/>
        </w:rPr>
        <w:t xml:space="preserve"> - komentuje Grzegorz Woźniak, prezes spółki Quelle Locum. - </w:t>
      </w:r>
      <w:r w:rsidRPr="00632CB0">
        <w:rPr>
          <w:rFonts w:eastAsia="Times New Roman"/>
          <w:i/>
          <w:iCs/>
        </w:rPr>
        <w:t>W przypadku większych mieszkań, grupą docelową są głównie rodziny z dziećmi. Poza powierzchnią zwracają oni również uwagę na większą liczbę pokoi, obecność balkonu lub przydomowego ogródka</w:t>
      </w:r>
      <w:r w:rsidRPr="00632CB0">
        <w:rPr>
          <w:rFonts w:eastAsia="Times New Roman"/>
        </w:rPr>
        <w:t xml:space="preserve"> - dodaje.</w:t>
      </w:r>
    </w:p>
    <w:p w14:paraId="1D99A3CE" w14:textId="3F93D0CA" w:rsidR="00632CB0" w:rsidRPr="00632CB0" w:rsidRDefault="00632CB0" w:rsidP="00632CB0">
      <w:pPr>
        <w:pStyle w:val="primenaglowek2"/>
        <w:rPr>
          <w:rFonts w:eastAsia="Times New Roman"/>
        </w:rPr>
      </w:pPr>
      <w:r w:rsidRPr="00632CB0">
        <w:rPr>
          <w:rFonts w:eastAsia="Times New Roman"/>
        </w:rPr>
        <w:t>Jakie perspektywy?</w:t>
      </w:r>
    </w:p>
    <w:p w14:paraId="77D4888D" w14:textId="1DF1D89F" w:rsidR="00632CB0" w:rsidRPr="00632CB0" w:rsidRDefault="00632CB0" w:rsidP="00632CB0">
      <w:pPr>
        <w:pStyle w:val="primepapierstyl"/>
        <w:rPr>
          <w:rFonts w:eastAsia="Times New Roman"/>
        </w:rPr>
      </w:pPr>
      <w:r w:rsidRPr="003C4E98">
        <w:rPr>
          <w:rFonts w:eastAsia="Times New Roman"/>
          <w:lang w:val="pl-PL"/>
        </w:rPr>
        <w:t xml:space="preserve">Jak twierdzi Andrzej Prajsnar, ekspert portalu RynekPierwotny.pl, w najbliższym czasie trudno będzie oczekiwać wzrostu średniej powierzchni kupowanych mieszkań. </w:t>
      </w:r>
      <w:r w:rsidRPr="00632CB0">
        <w:rPr>
          <w:rFonts w:eastAsia="Times New Roman"/>
        </w:rPr>
        <w:t xml:space="preserve">Przez najbliższe 2 lata nie będzie temu sprzyjać sytuacja gospodarcza. Istotne są też </w:t>
      </w:r>
      <w:r w:rsidRPr="00632CB0">
        <w:rPr>
          <w:rFonts w:eastAsia="Times New Roman"/>
        </w:rPr>
        <w:lastRenderedPageBreak/>
        <w:t>tendencje demograficzne i coraz większe znaczenie singli na rynku mieszkaniowym. Podobnego zdania jest Grzegorz Woźniak, prezes spółki Quelle Locum, realizującej inwestycję Park Leśny Bronowice: </w:t>
      </w:r>
    </w:p>
    <w:p w14:paraId="2F878AA0" w14:textId="77777777" w:rsidR="00632CB0" w:rsidRPr="00632CB0" w:rsidRDefault="00632CB0" w:rsidP="00632CB0">
      <w:pPr>
        <w:pStyle w:val="primepapierstyl"/>
        <w:rPr>
          <w:rFonts w:eastAsia="Times New Roman"/>
        </w:rPr>
      </w:pPr>
      <w:r w:rsidRPr="00632CB0">
        <w:rPr>
          <w:rFonts w:eastAsia="Times New Roman"/>
          <w:lang w:val="pl-PL"/>
        </w:rPr>
        <w:t xml:space="preserve">- </w:t>
      </w:r>
      <w:r w:rsidRPr="00632CB0">
        <w:rPr>
          <w:rFonts w:eastAsia="Times New Roman"/>
          <w:i/>
          <w:iCs/>
          <w:lang w:val="pl-PL"/>
        </w:rPr>
        <w:t xml:space="preserve">Nie sądzę, aby preferencje klientów uległy diametralnej zmianie w ciągu najbliższych lat. </w:t>
      </w:r>
      <w:r w:rsidRPr="00632CB0">
        <w:rPr>
          <w:rFonts w:eastAsia="Times New Roman"/>
          <w:i/>
          <w:iCs/>
        </w:rPr>
        <w:t xml:space="preserve">Maleje wielkość gospodarstw domowych, a mieszkanie przez wielu nie jest już traktowane jako to “na całe życie”, społeczeństwo staje się bardziej mobilne i w najbliższych latach ten trend z pewnością będzie się nasilał. Wiele osób poszukiwać będzie mniejszych, lecz kompaktowych mieszkań, a cena będzie nadal kluczowym czynnikiem, przesądzającym o zakupie danego lokalu </w:t>
      </w:r>
      <w:r w:rsidRPr="00632CB0">
        <w:rPr>
          <w:rFonts w:eastAsia="Times New Roman"/>
        </w:rPr>
        <w:t>- twierdzi prezes spółki Quelle Locum.</w:t>
      </w:r>
    </w:p>
    <w:p w14:paraId="1C0D56A0" w14:textId="77777777" w:rsidR="00753C76" w:rsidRDefault="00753C76" w:rsidP="00A92BF9">
      <w:pPr>
        <w:pStyle w:val="primepapierstyl"/>
        <w:rPr>
          <w:b/>
          <w:lang w:val="pl-PL"/>
        </w:rPr>
      </w:pPr>
    </w:p>
    <w:p w14:paraId="0B9EE806" w14:textId="677F5C85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A026" w14:textId="77777777" w:rsidR="00B11751" w:rsidRDefault="00B11751" w:rsidP="00EB07E0">
      <w:pPr>
        <w:spacing w:after="0" w:line="240" w:lineRule="auto"/>
      </w:pPr>
      <w:r>
        <w:separator/>
      </w:r>
    </w:p>
  </w:endnote>
  <w:endnote w:type="continuationSeparator" w:id="0">
    <w:p w14:paraId="560D9906" w14:textId="77777777" w:rsidR="00B11751" w:rsidRDefault="00B1175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8E6A" w14:textId="77777777" w:rsidR="00B11751" w:rsidRDefault="00B11751" w:rsidP="00EB07E0">
      <w:pPr>
        <w:spacing w:after="0" w:line="240" w:lineRule="auto"/>
      </w:pPr>
      <w:r>
        <w:separator/>
      </w:r>
    </w:p>
  </w:footnote>
  <w:footnote w:type="continuationSeparator" w:id="0">
    <w:p w14:paraId="3D34717D" w14:textId="77777777" w:rsidR="00B11751" w:rsidRDefault="00B1175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251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0E7B"/>
    <w:rsid w:val="002B103F"/>
    <w:rsid w:val="002D02E9"/>
    <w:rsid w:val="002E05DC"/>
    <w:rsid w:val="0031442F"/>
    <w:rsid w:val="00325EE2"/>
    <w:rsid w:val="00365C43"/>
    <w:rsid w:val="0037191A"/>
    <w:rsid w:val="00374117"/>
    <w:rsid w:val="00382BCE"/>
    <w:rsid w:val="003A05D7"/>
    <w:rsid w:val="003A6772"/>
    <w:rsid w:val="003A6A3E"/>
    <w:rsid w:val="003A7137"/>
    <w:rsid w:val="003B4CA6"/>
    <w:rsid w:val="003C4E98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207B2"/>
    <w:rsid w:val="00631BAE"/>
    <w:rsid w:val="00632CB0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3C76"/>
    <w:rsid w:val="007555D3"/>
    <w:rsid w:val="00762DE9"/>
    <w:rsid w:val="00766DCF"/>
    <w:rsid w:val="00777554"/>
    <w:rsid w:val="007B7076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11751"/>
    <w:rsid w:val="00B21554"/>
    <w:rsid w:val="00B243DA"/>
    <w:rsid w:val="00B25236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C0E36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EBAB-A45A-4D90-9BE7-84796FAC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9</cp:revision>
  <cp:lastPrinted>2020-02-25T09:53:00Z</cp:lastPrinted>
  <dcterms:created xsi:type="dcterms:W3CDTF">2020-03-25T07:40:00Z</dcterms:created>
  <dcterms:modified xsi:type="dcterms:W3CDTF">2020-07-31T09:59:00Z</dcterms:modified>
</cp:coreProperties>
</file>