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7472570C" w14:textId="12F84B40" w:rsidR="00E07609" w:rsidRPr="00022541" w:rsidRDefault="001A0C5B" w:rsidP="00E07609">
            <w:pPr>
              <w:pStyle w:val="primenaglowek2"/>
            </w:pPr>
            <w:r>
              <w:t>Informacja prasowa</w:t>
            </w:r>
            <w:r w:rsidR="00E07609" w:rsidRPr="00022541">
              <w:t>:</w:t>
            </w:r>
          </w:p>
          <w:p w14:paraId="61825B7F" w14:textId="0401E68E" w:rsidR="00E07609" w:rsidRPr="002B2367" w:rsidRDefault="007B7D68" w:rsidP="007A0B4C">
            <w:pPr>
              <w:pStyle w:val="primenaglowek2"/>
            </w:pPr>
            <w:r>
              <w:rPr>
                <w:rFonts w:eastAsia="Times New Roman"/>
                <w:b w:val="0"/>
              </w:rPr>
              <w:t>Inwestuj w to, co rozumiesz</w:t>
            </w:r>
          </w:p>
        </w:tc>
        <w:tc>
          <w:tcPr>
            <w:tcW w:w="1759" w:type="dxa"/>
          </w:tcPr>
          <w:p w14:paraId="60FD05F4" w14:textId="77777777" w:rsidR="00E07609" w:rsidRPr="00022541" w:rsidRDefault="00E07609" w:rsidP="00E07609">
            <w:pPr>
              <w:pStyle w:val="primenaglowek2"/>
            </w:pPr>
            <w:r w:rsidRPr="00022541">
              <w:t>Data:</w:t>
            </w:r>
          </w:p>
          <w:p w14:paraId="65DA5447" w14:textId="25BD1998" w:rsidR="00E07609" w:rsidRPr="00022541" w:rsidRDefault="007B7D68" w:rsidP="001C4990">
            <w:pPr>
              <w:pStyle w:val="primepapierstyl"/>
              <w:rPr>
                <w:lang w:val="pl-PL"/>
              </w:rPr>
            </w:pPr>
            <w:r>
              <w:rPr>
                <w:lang w:val="pl-PL"/>
              </w:rPr>
              <w:t>03</w:t>
            </w:r>
            <w:r w:rsidR="001A1A26">
              <w:rPr>
                <w:lang w:val="pl-PL"/>
              </w:rPr>
              <w:t>.</w:t>
            </w:r>
            <w:r>
              <w:rPr>
                <w:lang w:val="pl-PL"/>
              </w:rPr>
              <w:t>02.2020</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B7D68">
              <w:t>Obligain</w:t>
            </w:r>
            <w:proofErr w:type="spellEnd"/>
          </w:p>
          <w:p w14:paraId="48E6F942" w14:textId="73955CFF" w:rsidR="007A0B4C" w:rsidRPr="007B7D68" w:rsidRDefault="007A0B4C" w:rsidP="001A1A26">
            <w:pPr>
              <w:pStyle w:val="primenaglowek2"/>
            </w:pPr>
          </w:p>
        </w:tc>
      </w:tr>
    </w:tbl>
    <w:p w14:paraId="212430CC" w14:textId="6CE180E5" w:rsidR="007B7D68" w:rsidRPr="007B7D68" w:rsidRDefault="007B7D68" w:rsidP="007B7D68">
      <w:pPr>
        <w:pStyle w:val="primenaglowek1"/>
        <w:jc w:val="center"/>
        <w:rPr>
          <w:rFonts w:eastAsia="Times New Roman"/>
        </w:rPr>
      </w:pPr>
      <w:r w:rsidRPr="007B7D68">
        <w:rPr>
          <w:rFonts w:eastAsia="Times New Roman"/>
        </w:rPr>
        <w:t>Inwestuj w to, co rozumiesz</w:t>
      </w:r>
    </w:p>
    <w:p w14:paraId="0470B5F7" w14:textId="77777777" w:rsidR="007B7D68" w:rsidRPr="007B7D68" w:rsidRDefault="007B7D68" w:rsidP="007B7D68">
      <w:pPr>
        <w:pStyle w:val="primenaglowek2"/>
        <w:rPr>
          <w:rFonts w:eastAsia="Times New Roman"/>
        </w:rPr>
      </w:pPr>
      <w:r w:rsidRPr="007B7D68">
        <w:rPr>
          <w:rFonts w:eastAsia="Times New Roman"/>
        </w:rPr>
        <w:t>Niskie oprocentowanie lokat bankowych skłania do poszukiwania bardziej dochodowych form pomnażania kapitału. Poza tradycyjnymi instrumentami finansowymi, takimi jak akcje czy obligacje, wiele osób interesuje się alternatywnymi sposobami deponowania kapitału np. zakupem dzieł sztuki czy luksusowych alkoholi. Niezależnie od tego, na który rodzaj inwestycji się zdecydujemy, eksperci przestrzegają - “Inwestujmy tylko w to, co rozumiemy”. Którą drogę obrać i na co zwracać uwagę, aby zarobić, a nie stracić?</w:t>
      </w:r>
    </w:p>
    <w:p w14:paraId="73016C84" w14:textId="77777777" w:rsidR="007B7D68" w:rsidRPr="007B7D68" w:rsidRDefault="007B7D68" w:rsidP="007B7D68">
      <w:pPr>
        <w:spacing w:after="0" w:line="240" w:lineRule="auto"/>
        <w:rPr>
          <w:rFonts w:ascii="Times New Roman" w:eastAsia="Times New Roman" w:hAnsi="Times New Roman" w:cs="Times New Roman"/>
          <w:sz w:val="24"/>
          <w:szCs w:val="24"/>
        </w:rPr>
      </w:pPr>
    </w:p>
    <w:p w14:paraId="18ACEF1A" w14:textId="77777777" w:rsidR="007B7D68" w:rsidRPr="007B7D68" w:rsidRDefault="007B7D68" w:rsidP="007B7D68">
      <w:pPr>
        <w:pStyle w:val="primenaglowek2"/>
        <w:rPr>
          <w:rFonts w:eastAsia="Times New Roman"/>
        </w:rPr>
      </w:pPr>
      <w:r w:rsidRPr="007B7D68">
        <w:rPr>
          <w:rFonts w:eastAsia="Times New Roman"/>
        </w:rPr>
        <w:t>Chłodna “gra na giełdzie”</w:t>
      </w:r>
    </w:p>
    <w:p w14:paraId="3D5D888B" w14:textId="77777777" w:rsidR="007B7D68" w:rsidRPr="007B7D68" w:rsidRDefault="007B7D68" w:rsidP="007B7D68">
      <w:pPr>
        <w:spacing w:after="0" w:line="240" w:lineRule="auto"/>
        <w:rPr>
          <w:rFonts w:ascii="Times New Roman" w:eastAsia="Times New Roman" w:hAnsi="Times New Roman" w:cs="Times New Roman"/>
          <w:sz w:val="24"/>
          <w:szCs w:val="24"/>
        </w:rPr>
      </w:pPr>
    </w:p>
    <w:p w14:paraId="484C1D01" w14:textId="77777777" w:rsidR="007B7D68" w:rsidRPr="007B7D68" w:rsidRDefault="007B7D68" w:rsidP="007B7D68">
      <w:pPr>
        <w:pStyle w:val="primepapierstyl"/>
        <w:rPr>
          <w:rFonts w:eastAsia="Times New Roman"/>
        </w:rPr>
      </w:pPr>
      <w:r w:rsidRPr="007B7D68">
        <w:rPr>
          <w:rFonts w:eastAsia="Times New Roman"/>
        </w:rPr>
        <w:t xml:space="preserve">Przed podjęciem decyzji o inwestowaniu na giełdzie, trzeba pojąć sam mechanizm giełdy papierów wartościowych oraz akcji, uzmysłowić sobie, że jest to miejsce, w którym popyt spotka się z podażą, a rynek dyktuje cenę za dane </w:t>
      </w:r>
      <w:r w:rsidRPr="007B7D68">
        <w:rPr>
          <w:rFonts w:eastAsia="Times New Roman"/>
        </w:rPr>
        <w:lastRenderedPageBreak/>
        <w:t>dobro. W związku z różnymi zmianami, wycena może ulegać wahaniom. Przykładowo, jeśli firma produkuje gry komputerowe i niebawem odbędzie się premiera nowego produktu, który zostanie bardzo dobrze przyjęty, to akcje firmy wzrosną. Jednak jeżeli nowa gra okaże się rozczarowaniem bądź premiera zostanie przesunięta w czasie, to akcje takiej firmy mogą spaść. Inwestując na giełdzie, trzeba pamiętać, że jest ona nieodłącznie związana z ryzykiem. Dlatego najlepiej, gdy z takiego instrumentu finansowego korzystają wyłącznie osoby dysponujące wolnymi środkami, czyli pieniędzmi, z utratą których mogą się liczyć. </w:t>
      </w:r>
    </w:p>
    <w:p w14:paraId="2B018768" w14:textId="77777777" w:rsidR="007B7D68" w:rsidRPr="007B7D68" w:rsidRDefault="007B7D68" w:rsidP="007B7D68">
      <w:pPr>
        <w:spacing w:after="0" w:line="240" w:lineRule="auto"/>
        <w:rPr>
          <w:rFonts w:ascii="Times New Roman" w:eastAsia="Times New Roman" w:hAnsi="Times New Roman" w:cs="Times New Roman"/>
          <w:sz w:val="24"/>
          <w:szCs w:val="24"/>
        </w:rPr>
      </w:pPr>
    </w:p>
    <w:p w14:paraId="74B464AA" w14:textId="77777777" w:rsidR="007B7D68" w:rsidRPr="007B7D68" w:rsidRDefault="007B7D68" w:rsidP="007B7D68">
      <w:pPr>
        <w:pStyle w:val="primepapierstyl"/>
        <w:rPr>
          <w:rFonts w:eastAsia="Times New Roman"/>
        </w:rPr>
      </w:pPr>
      <w:r w:rsidRPr="007B7D68">
        <w:rPr>
          <w:rFonts w:eastAsia="Times New Roman"/>
        </w:rPr>
        <w:t xml:space="preserve">- </w:t>
      </w:r>
      <w:r w:rsidRPr="007B7D68">
        <w:rPr>
          <w:rFonts w:eastAsia="Times New Roman"/>
          <w:i/>
        </w:rPr>
        <w:t xml:space="preserve">Nie możemy inwestować na giełdzie kapitału, który ma nam  zapewnić emeryturę, za który chcemy kupić dom czy wykształcić dzieci. To muszą być środki, po których utracie budżet domowy nie zostanie uszczuplony. Poza tym niezmiernie istotną kwestią jest wiedza na temat działalności danej spółki. Przykładowo, inwestując w spółki </w:t>
      </w:r>
      <w:proofErr w:type="spellStart"/>
      <w:r w:rsidRPr="007B7D68">
        <w:rPr>
          <w:rFonts w:eastAsia="Times New Roman"/>
          <w:i/>
        </w:rPr>
        <w:t>gamingowe</w:t>
      </w:r>
      <w:proofErr w:type="spellEnd"/>
      <w:r w:rsidRPr="007B7D68">
        <w:rPr>
          <w:rFonts w:eastAsia="Times New Roman"/>
          <w:i/>
        </w:rPr>
        <w:t>, powinniśmy sami orientować się w świecie gier komputerowych, a najlepiej w nie grać. Inwestując w spółkę wydobywając miedź, rozumieć skąd biorą się ceny miedzi i z kim ta spółka handluje tym surowcem. To są niesamowicie istotne kwestie, o których niestety wielu inwestorów zapomina</w:t>
      </w:r>
      <w:r w:rsidRPr="007B7D68">
        <w:rPr>
          <w:rFonts w:eastAsia="Times New Roman"/>
          <w:bCs/>
        </w:rPr>
        <w:t xml:space="preserve"> -</w:t>
      </w:r>
      <w:r w:rsidRPr="007B7D68">
        <w:rPr>
          <w:rFonts w:eastAsia="Times New Roman"/>
          <w:b/>
          <w:bCs/>
        </w:rPr>
        <w:t xml:space="preserve"> </w:t>
      </w:r>
      <w:r w:rsidRPr="007B7D68">
        <w:rPr>
          <w:rFonts w:eastAsia="Times New Roman"/>
        </w:rPr>
        <w:t xml:space="preserve">zauważa Cezary Chybowski prezes Reliance Polska, właściciel portalu inwestycyjnego </w:t>
      </w:r>
      <w:proofErr w:type="spellStart"/>
      <w:r w:rsidRPr="007B7D68">
        <w:rPr>
          <w:rFonts w:eastAsia="Times New Roman"/>
        </w:rPr>
        <w:t>Obligain</w:t>
      </w:r>
      <w:proofErr w:type="spellEnd"/>
      <w:r w:rsidRPr="007B7D68">
        <w:rPr>
          <w:rFonts w:eastAsia="Times New Roman"/>
        </w:rPr>
        <w:t xml:space="preserve">. - </w:t>
      </w:r>
      <w:r w:rsidRPr="007B7D68">
        <w:rPr>
          <w:rFonts w:eastAsia="Times New Roman"/>
          <w:i/>
        </w:rPr>
        <w:t>Kolejną kwestią jest chłodna kalkulacja. Nie powinniśmy kupować akcji pod wpływem emocji. Warto zasięgnąć obiektywnej opinii osób specjalizujących się w danym temacie. Oceny znajomych są zwykle subiektywne - jeżeli wszyscy twierdzą, że na giełdzie można teraz zarobić, to zwykle czas inwestowania już minął, a akcji się nie kupuje, lecz sprzedaje</w:t>
      </w:r>
      <w:r w:rsidRPr="007B7D68">
        <w:rPr>
          <w:rFonts w:eastAsia="Times New Roman"/>
        </w:rPr>
        <w:t xml:space="preserve"> - dodaje. </w:t>
      </w:r>
    </w:p>
    <w:p w14:paraId="4786BD53" w14:textId="77777777" w:rsidR="007B7D68" w:rsidRPr="007B7D68" w:rsidRDefault="007B7D68" w:rsidP="007B7D68">
      <w:pPr>
        <w:spacing w:after="0" w:line="240" w:lineRule="auto"/>
        <w:rPr>
          <w:rFonts w:ascii="Times New Roman" w:eastAsia="Times New Roman" w:hAnsi="Times New Roman" w:cs="Times New Roman"/>
          <w:sz w:val="24"/>
          <w:szCs w:val="24"/>
        </w:rPr>
      </w:pPr>
    </w:p>
    <w:p w14:paraId="5C37ED2A" w14:textId="221AD598" w:rsidR="007B7D68" w:rsidRPr="007B7D68" w:rsidRDefault="007B7D68" w:rsidP="007B7D68">
      <w:pPr>
        <w:pStyle w:val="primenaglowek2"/>
        <w:rPr>
          <w:rFonts w:eastAsia="Times New Roman"/>
        </w:rPr>
      </w:pPr>
      <w:r w:rsidRPr="007B7D68">
        <w:rPr>
          <w:rFonts w:eastAsia="Times New Roman"/>
        </w:rPr>
        <w:t>Obligacje bezpieczniejsze od akcji</w:t>
      </w:r>
    </w:p>
    <w:p w14:paraId="4FD1FAD2" w14:textId="7A80DA31" w:rsidR="007B7D68" w:rsidRPr="007B7D68" w:rsidRDefault="007B7D68" w:rsidP="007B7D68">
      <w:pPr>
        <w:pStyle w:val="primepapierstyl"/>
        <w:rPr>
          <w:rFonts w:eastAsia="Times New Roman"/>
          <w:lang w:val="pl-PL"/>
        </w:rPr>
      </w:pPr>
      <w:r w:rsidRPr="007B7D68">
        <w:rPr>
          <w:rFonts w:eastAsia="Times New Roman"/>
        </w:rPr>
        <w:t xml:space="preserve">Obligacje należą do kategorii dłużnych instrumentów finansowych. Są to papiery wartościowe emitowane w serii; emitent, czyli firma, która sprzedaje obligacje, jest dłużnikiem obligatariusza, jednocześnie zobowiązując się do spełnienia określonego świadczenia. </w:t>
      </w:r>
      <w:r w:rsidRPr="007B7D68">
        <w:rPr>
          <w:rFonts w:eastAsia="Times New Roman"/>
          <w:lang w:val="pl-PL"/>
        </w:rPr>
        <w:t>W praktyce jest to nic innego jak pożyczenie pieniędzy w formie uregulowanej ustawą, a po upływie określonego terminu otrzymanie zwrotu zainwestowanego kapitału wraz z odsetkami. </w:t>
      </w:r>
    </w:p>
    <w:p w14:paraId="448AA5E3" w14:textId="3C3F8FEC" w:rsidR="007B7D68" w:rsidRPr="007B7D68" w:rsidRDefault="007B7D68" w:rsidP="007B7D68">
      <w:pPr>
        <w:pStyle w:val="primepapierstyl"/>
        <w:rPr>
          <w:rFonts w:eastAsia="Times New Roman"/>
          <w:lang w:val="pl-PL"/>
        </w:rPr>
      </w:pPr>
      <w:r w:rsidRPr="007B7D68">
        <w:rPr>
          <w:rFonts w:eastAsia="Times New Roman"/>
        </w:rPr>
        <w:t xml:space="preserve">Na </w:t>
      </w:r>
      <w:proofErr w:type="spellStart"/>
      <w:r w:rsidRPr="007B7D68">
        <w:rPr>
          <w:rFonts w:eastAsia="Times New Roman"/>
        </w:rPr>
        <w:t>rynku</w:t>
      </w:r>
      <w:proofErr w:type="spellEnd"/>
      <w:r w:rsidRPr="007B7D68">
        <w:rPr>
          <w:rFonts w:eastAsia="Times New Roman"/>
        </w:rPr>
        <w:t xml:space="preserve"> </w:t>
      </w:r>
      <w:proofErr w:type="spellStart"/>
      <w:r w:rsidRPr="007B7D68">
        <w:rPr>
          <w:rFonts w:eastAsia="Times New Roman"/>
        </w:rPr>
        <w:t>mamy</w:t>
      </w:r>
      <w:proofErr w:type="spellEnd"/>
      <w:r w:rsidRPr="007B7D68">
        <w:rPr>
          <w:rFonts w:eastAsia="Times New Roman"/>
        </w:rPr>
        <w:t xml:space="preserve"> do czynienia z kilkoma rodzajami obligacji, wśród których oprócz tych najbardziej znanych, a więc obligacji emitowanych przez Skarb Państwa, wyróżnia się obligacje korporacyjne, których emitentem jest przedsiębiorstwo, obligacje municypalne, a więc sprzedawane przez samorządy lokalne oraz obligacje, których emitentami są banki spółdzielcze. Tak jak w przypadku lokat bankowych, obligacje różnią się między sobą terminem ich wykupu. Wyróżnia się obligacje krótkoterminowe, czyli do roku, średnioterminowe od roku do 5 lat i długoterminowe - powyżej 5 lat. Poza okresem ich trwania, istotny jest także sposób naliczania odsetek. </w:t>
      </w:r>
      <w:r w:rsidRPr="007B7D68">
        <w:rPr>
          <w:rFonts w:eastAsia="Times New Roman"/>
          <w:lang w:val="pl-PL"/>
        </w:rPr>
        <w:t>Do dyspozycji mamy obligacje o stałym lub zmiennym oprocentowaniu, a także obligacje zerokuponowe, a więc o zerowym oprocentowaniu, emitowane z dyskontem.</w:t>
      </w:r>
    </w:p>
    <w:p w14:paraId="36A041F1" w14:textId="32C4198A" w:rsidR="007B7D68" w:rsidRPr="007B7D68" w:rsidRDefault="007B7D68" w:rsidP="007B7D68">
      <w:pPr>
        <w:pStyle w:val="primepapierstyl"/>
        <w:rPr>
          <w:rFonts w:eastAsia="Times New Roman"/>
          <w:lang w:val="pl-PL"/>
        </w:rPr>
      </w:pPr>
      <w:r w:rsidRPr="007B7D68">
        <w:rPr>
          <w:rFonts w:eastAsia="Times New Roman"/>
        </w:rPr>
        <w:t xml:space="preserve">- </w:t>
      </w:r>
      <w:proofErr w:type="spellStart"/>
      <w:r w:rsidRPr="007B7D68">
        <w:rPr>
          <w:rFonts w:eastAsia="Times New Roman"/>
          <w:i/>
          <w:iCs/>
        </w:rPr>
        <w:t>Obligacje</w:t>
      </w:r>
      <w:proofErr w:type="spellEnd"/>
      <w:r w:rsidRPr="007B7D68">
        <w:rPr>
          <w:rFonts w:eastAsia="Times New Roman"/>
          <w:i/>
          <w:iCs/>
        </w:rPr>
        <w:t xml:space="preserve"> to z reguły dużo bardziej bezpieczna forma inwestowania aniżeli akcje. Na co zwrócić uwagę? Przede wszystkim warto zapoznać się z profilem działalności emitenta, z branżą, w której funkcjonuje, </w:t>
      </w:r>
      <w:proofErr w:type="spellStart"/>
      <w:r w:rsidRPr="007B7D68">
        <w:rPr>
          <w:rFonts w:eastAsia="Times New Roman"/>
          <w:i/>
          <w:iCs/>
        </w:rPr>
        <w:t>ryzykami</w:t>
      </w:r>
      <w:proofErr w:type="spellEnd"/>
      <w:r w:rsidRPr="007B7D68">
        <w:rPr>
          <w:rFonts w:eastAsia="Times New Roman"/>
          <w:i/>
          <w:iCs/>
        </w:rPr>
        <w:t xml:space="preserve"> wynikającymi z danej branży oraz ustawodawstwa. Poza tym ważny jest  termin obligacji, w papierach półrocznych </w:t>
      </w:r>
      <w:r w:rsidRPr="007B7D68">
        <w:rPr>
          <w:rFonts w:eastAsia="Times New Roman"/>
          <w:i/>
          <w:iCs/>
        </w:rPr>
        <w:lastRenderedPageBreak/>
        <w:t xml:space="preserve">wydarzy się mniej niż w papierach trzyletnich . Kolejna kwestia to oferowany procent. Jeżeli jest zbyt wysoki, możemy zacząć zastanawiać się, dlaczego emitent nie skorzystał z finansowania bankowego, być może coś jest nie tak z jego płynnością finansową. </w:t>
      </w:r>
      <w:r w:rsidRPr="007B7D68">
        <w:rPr>
          <w:rFonts w:eastAsia="Times New Roman"/>
          <w:i/>
          <w:iCs/>
          <w:lang w:val="pl-PL"/>
        </w:rPr>
        <w:t xml:space="preserve">Ważne jest to, aby spojrzeć na całość w bardzo obiektywny, absolutnie nie emocjonalny sposób </w:t>
      </w:r>
      <w:r w:rsidRPr="007B7D68">
        <w:rPr>
          <w:rFonts w:eastAsia="Times New Roman"/>
          <w:lang w:val="pl-PL"/>
        </w:rPr>
        <w:t>- mówi prezes Reliance Polska.</w:t>
      </w:r>
    </w:p>
    <w:p w14:paraId="3D0E8A0D" w14:textId="77777777" w:rsidR="007B7D68" w:rsidRPr="007B7D68" w:rsidRDefault="007B7D68" w:rsidP="007B7D68">
      <w:pPr>
        <w:pStyle w:val="primenaglowek2"/>
        <w:rPr>
          <w:rFonts w:eastAsia="Times New Roman"/>
        </w:rPr>
      </w:pPr>
      <w:r w:rsidRPr="007B7D68">
        <w:rPr>
          <w:rFonts w:eastAsia="Times New Roman"/>
        </w:rPr>
        <w:t>Dzieła sztuki a może alkohol?</w:t>
      </w:r>
    </w:p>
    <w:p w14:paraId="22AD05A6" w14:textId="28149E8C" w:rsidR="007B7D68" w:rsidRPr="007B7D68" w:rsidRDefault="007B7D68" w:rsidP="007B7D68">
      <w:pPr>
        <w:pStyle w:val="primepapierstyl"/>
        <w:rPr>
          <w:rFonts w:eastAsia="Times New Roman"/>
          <w:lang w:val="pl-PL"/>
        </w:rPr>
      </w:pPr>
      <w:r w:rsidRPr="007B7D68">
        <w:rPr>
          <w:rFonts w:eastAsia="Times New Roman"/>
          <w:lang w:val="pl-PL"/>
        </w:rPr>
        <w:t xml:space="preserve">Poza tradycyjnymi formami inwestowania, coraz większym zainteresowaniem nabywców cieszą się inwestycje alternatywne, do których należą inwestycje emocjonalne, często powiązane z pasją nabywcy, ale też z chęcią zdywersyfikowania swojego portfela. </w:t>
      </w:r>
      <w:proofErr w:type="spellStart"/>
      <w:r w:rsidRPr="007B7D68">
        <w:rPr>
          <w:rFonts w:eastAsia="Times New Roman"/>
        </w:rPr>
        <w:t>Rynek</w:t>
      </w:r>
      <w:proofErr w:type="spellEnd"/>
      <w:r w:rsidRPr="007B7D68">
        <w:rPr>
          <w:rFonts w:eastAsia="Times New Roman"/>
        </w:rPr>
        <w:t xml:space="preserve"> </w:t>
      </w:r>
      <w:proofErr w:type="spellStart"/>
      <w:r w:rsidRPr="007B7D68">
        <w:rPr>
          <w:rFonts w:eastAsia="Times New Roman"/>
        </w:rPr>
        <w:t>takich</w:t>
      </w:r>
      <w:proofErr w:type="spellEnd"/>
      <w:r w:rsidRPr="007B7D68">
        <w:rPr>
          <w:rFonts w:eastAsia="Times New Roman"/>
        </w:rPr>
        <w:t xml:space="preserve"> </w:t>
      </w:r>
      <w:proofErr w:type="spellStart"/>
      <w:r w:rsidRPr="007B7D68">
        <w:rPr>
          <w:rFonts w:eastAsia="Times New Roman"/>
        </w:rPr>
        <w:t>inwestycji</w:t>
      </w:r>
      <w:proofErr w:type="spellEnd"/>
      <w:r w:rsidRPr="007B7D68">
        <w:rPr>
          <w:rFonts w:eastAsia="Times New Roman"/>
        </w:rPr>
        <w:t xml:space="preserve"> </w:t>
      </w:r>
      <w:proofErr w:type="spellStart"/>
      <w:r w:rsidRPr="007B7D68">
        <w:rPr>
          <w:rFonts w:eastAsia="Times New Roman"/>
        </w:rPr>
        <w:t>przeżywa</w:t>
      </w:r>
      <w:proofErr w:type="spellEnd"/>
      <w:r w:rsidRPr="007B7D68">
        <w:rPr>
          <w:rFonts w:eastAsia="Times New Roman"/>
        </w:rPr>
        <w:t xml:space="preserve"> obecnie okres dynamicznego rozwoju zarówno na świecie, jak i w naszym kraju. Do najbardziej pożądanych przedmiotów kolekcjonerskich należą dzieła sztuki. W 2017 roku w Polsce padł rekord, obraz Stanisława Wyspiańskiego “Macierzyństwo” z 1904 roku został sprzedany za przeszło 4,3 mln zł. </w:t>
      </w:r>
      <w:r w:rsidRPr="007B7D68">
        <w:rPr>
          <w:rFonts w:eastAsia="Times New Roman"/>
          <w:lang w:val="pl-PL"/>
        </w:rPr>
        <w:t>Pomimo tak wysokich cen, próg wejścia na dany rynek zaczyna się już od kilkuset złotych i dotyczy dzieł zwłaszcza młodych, współczesnych artystów. </w:t>
      </w:r>
    </w:p>
    <w:p w14:paraId="0C755116" w14:textId="77777777" w:rsidR="007B7D68" w:rsidRDefault="007B7D68" w:rsidP="007B7D68">
      <w:pPr>
        <w:pStyle w:val="primepapierstyl"/>
        <w:rPr>
          <w:rFonts w:eastAsia="Times New Roman"/>
          <w:shd w:val="clear" w:color="auto" w:fill="auto"/>
        </w:rPr>
      </w:pPr>
      <w:r w:rsidRPr="007B7D68">
        <w:rPr>
          <w:rFonts w:eastAsia="Times New Roman"/>
        </w:rPr>
        <w:t xml:space="preserve">W </w:t>
      </w:r>
      <w:proofErr w:type="spellStart"/>
      <w:r w:rsidRPr="007B7D68">
        <w:rPr>
          <w:rFonts w:eastAsia="Times New Roman"/>
        </w:rPr>
        <w:t>ostatnich</w:t>
      </w:r>
      <w:proofErr w:type="spellEnd"/>
      <w:r w:rsidRPr="007B7D68">
        <w:rPr>
          <w:rFonts w:eastAsia="Times New Roman"/>
        </w:rPr>
        <w:t xml:space="preserve"> </w:t>
      </w:r>
      <w:proofErr w:type="spellStart"/>
      <w:r w:rsidRPr="007B7D68">
        <w:rPr>
          <w:rFonts w:eastAsia="Times New Roman"/>
        </w:rPr>
        <w:t>latach</w:t>
      </w:r>
      <w:proofErr w:type="spellEnd"/>
      <w:r w:rsidRPr="007B7D68">
        <w:rPr>
          <w:rFonts w:eastAsia="Times New Roman"/>
        </w:rPr>
        <w:t xml:space="preserve"> </w:t>
      </w:r>
      <w:proofErr w:type="spellStart"/>
      <w:r w:rsidRPr="007B7D68">
        <w:rPr>
          <w:rFonts w:eastAsia="Times New Roman"/>
        </w:rPr>
        <w:t>na</w:t>
      </w:r>
      <w:proofErr w:type="spellEnd"/>
      <w:r w:rsidRPr="007B7D68">
        <w:rPr>
          <w:rFonts w:eastAsia="Times New Roman"/>
        </w:rPr>
        <w:t xml:space="preserve"> znaczeniu zyskał też inny segment inwestycji alternatywnych, a mianowicie markowych alkoholi, zwłaszcza win oraz whisky. Z raportu opublikowanego przez KPMG “Rynek dóbr luksusowych w Polsce, 2019” wynika, że średnioroczna dynamika tego luksusowego dobra w latach 2019-2024 osiągnie poziom 7,1 proc. Wśród najbardziej popularnych win wyróżnia się te pochodzące z regionu Bordeaux oraz Burgundii, a najbardziej znaną giełdą z renomowanymi trunkami jest </w:t>
      </w:r>
      <w:proofErr w:type="spellStart"/>
      <w:r w:rsidRPr="007B7D68">
        <w:rPr>
          <w:rFonts w:eastAsia="Times New Roman"/>
        </w:rPr>
        <w:t>Liv</w:t>
      </w:r>
      <w:proofErr w:type="spellEnd"/>
      <w:r w:rsidRPr="007B7D68">
        <w:rPr>
          <w:rFonts w:eastAsia="Times New Roman"/>
        </w:rPr>
        <w:t xml:space="preserve">-ex w Londynie. W przypadku </w:t>
      </w:r>
      <w:proofErr w:type="spellStart"/>
      <w:r w:rsidRPr="007B7D68">
        <w:rPr>
          <w:rFonts w:eastAsia="Times New Roman"/>
        </w:rPr>
        <w:t>whiskey</w:t>
      </w:r>
      <w:proofErr w:type="spellEnd"/>
      <w:r w:rsidRPr="007B7D68">
        <w:rPr>
          <w:rFonts w:eastAsia="Times New Roman"/>
        </w:rPr>
        <w:t xml:space="preserve">, </w:t>
      </w:r>
      <w:r w:rsidRPr="007B7D68">
        <w:rPr>
          <w:rFonts w:eastAsia="Times New Roman"/>
        </w:rPr>
        <w:lastRenderedPageBreak/>
        <w:t>największym zainteresowaniem cieszą się alkohole sprowadzane ze Szkocji. Nabywcy mają możliwość inwestowania w kolekcjonerskie butelki bądź też całe beczki.</w:t>
      </w:r>
      <w:r w:rsidRPr="007B7D68">
        <w:rPr>
          <w:rFonts w:eastAsia="Times New Roman"/>
          <w:shd w:val="clear" w:color="auto" w:fill="auto"/>
        </w:rPr>
        <w:br/>
        <w:t xml:space="preserve">- </w:t>
      </w:r>
      <w:r w:rsidRPr="007B7D68">
        <w:rPr>
          <w:rFonts w:eastAsia="Times New Roman"/>
          <w:i/>
          <w:shd w:val="clear" w:color="auto" w:fill="auto"/>
        </w:rPr>
        <w:t>Inwestycje w dzieła sztuka lub luksusowe alkohole należą do kategorii inwestycji wysokiego ryzyka; na tym po prostu trzeba się znać. Osoby, które nie interesują się danymi segmentami rynku, nie powinny w ten sposób dywersyfikować swojego portfela. W przypadku inwestycji emocjonalnych można bardzo często paść ofiarą przestępstwa</w:t>
      </w:r>
      <w:r w:rsidRPr="007B7D68">
        <w:rPr>
          <w:rFonts w:eastAsia="Times New Roman"/>
          <w:shd w:val="clear" w:color="auto" w:fill="auto"/>
        </w:rPr>
        <w:t xml:space="preserve"> - zauważa Cezary Chybowski. - </w:t>
      </w:r>
      <w:r w:rsidRPr="007B7D68">
        <w:rPr>
          <w:rFonts w:eastAsia="Times New Roman"/>
          <w:i/>
          <w:shd w:val="clear" w:color="auto" w:fill="auto"/>
        </w:rPr>
        <w:t xml:space="preserve">Jeżeli ktoś zdecyduje się na zakup dzieła sztuki, nie powinien ulegać namowom i okazjom. Przede wszystkim, przed dokonaniem transakcji należy sprawdzić źródło pochodzenia obrazu i koniecznie przeprowadzić własną ekspertyzę. Ryzyko inwestycyjne jest dużo niższe w przypadku inwestowania w dzieła współczesnych artystów, jednak okres zwrotu będzie odpowiednio dłuższy </w:t>
      </w:r>
      <w:r w:rsidRPr="007B7D68">
        <w:rPr>
          <w:rFonts w:eastAsia="Times New Roman"/>
          <w:shd w:val="clear" w:color="auto" w:fill="auto"/>
        </w:rPr>
        <w:t xml:space="preserve">- mówi prezes Reliance Polska. - </w:t>
      </w:r>
      <w:r w:rsidRPr="007B7D68">
        <w:rPr>
          <w:rFonts w:eastAsia="Times New Roman"/>
          <w:i/>
          <w:shd w:val="clear" w:color="auto" w:fill="auto"/>
        </w:rPr>
        <w:t>Moja rada w przypadku wszelkiego typu inwestycji jest taka, aby inwestować tylko w to, co się naprawdę rozumie</w:t>
      </w:r>
      <w:r w:rsidRPr="007B7D68">
        <w:rPr>
          <w:rFonts w:eastAsia="Times New Roman"/>
          <w:shd w:val="clear" w:color="auto" w:fill="auto"/>
        </w:rPr>
        <w:t xml:space="preserve"> - podsumowuje.</w:t>
      </w:r>
      <w:bookmarkStart w:id="0" w:name="_GoBack"/>
      <w:bookmarkEnd w:id="0"/>
    </w:p>
    <w:p w14:paraId="68F142D6" w14:textId="0BB468BA" w:rsidR="00241843" w:rsidRPr="007B7D68" w:rsidRDefault="00241843" w:rsidP="007B7D68">
      <w:pPr>
        <w:pStyle w:val="primepapierstyl"/>
        <w:rPr>
          <w:rFonts w:eastAsia="Times New Roman"/>
        </w:rPr>
      </w:pPr>
      <w:r w:rsidRPr="00022541">
        <w:rPr>
          <w:lang w:val="pl-PL"/>
        </w:rPr>
        <w:t xml:space="preserve">. . . . . . . . . . . . . . . . . </w:t>
      </w:r>
    </w:p>
    <w:p w14:paraId="0A9DFA44" w14:textId="77777777" w:rsidR="00241843" w:rsidRPr="00022541" w:rsidRDefault="00241843" w:rsidP="00241843">
      <w:pPr>
        <w:pStyle w:val="primenaglowek2"/>
      </w:pPr>
      <w:r w:rsidRPr="00022541">
        <w:t xml:space="preserve">Więcej informacji: </w:t>
      </w:r>
    </w:p>
    <w:p w14:paraId="6996B31B" w14:textId="77777777" w:rsidR="00241843" w:rsidRPr="00022541" w:rsidRDefault="00355217" w:rsidP="00241843">
      <w:pPr>
        <w:pStyle w:val="primepapierstyl"/>
        <w:rPr>
          <w:lang w:val="pl-PL"/>
        </w:rPr>
      </w:pPr>
      <w:r>
        <w:rPr>
          <w:lang w:val="pl-PL"/>
        </w:rPr>
        <w:t>Aleksandra Maśnica</w:t>
      </w:r>
    </w:p>
    <w:p w14:paraId="5561F9AF" w14:textId="77777777" w:rsidR="00241843" w:rsidRPr="007B7D68" w:rsidRDefault="00355217" w:rsidP="00241843">
      <w:pPr>
        <w:pStyle w:val="primepapierstyl"/>
        <w:rPr>
          <w:lang w:val="pl-PL"/>
        </w:rPr>
      </w:pPr>
      <w:r w:rsidRPr="007B7D68">
        <w:rPr>
          <w:lang w:val="pl-PL"/>
        </w:rPr>
        <w:t>e-mail: aleksandra.masnica</w:t>
      </w:r>
      <w:r w:rsidR="00241843" w:rsidRPr="007B7D68">
        <w:rPr>
          <w:lang w:val="pl-PL"/>
        </w:rPr>
        <w:t>@primetimepr.pl</w:t>
      </w:r>
    </w:p>
    <w:p w14:paraId="2AB4977A" w14:textId="77777777"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60006" w14:textId="77777777" w:rsidR="00D165FC" w:rsidRDefault="00D165FC" w:rsidP="00EB07E0">
      <w:pPr>
        <w:spacing w:after="0" w:line="240" w:lineRule="auto"/>
      </w:pPr>
      <w:r>
        <w:separator/>
      </w:r>
    </w:p>
  </w:endnote>
  <w:endnote w:type="continuationSeparator" w:id="0">
    <w:p w14:paraId="4E444D68" w14:textId="77777777" w:rsidR="00D165FC" w:rsidRDefault="00D165FC"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3577" w14:textId="77777777" w:rsidR="00D165FC" w:rsidRDefault="00D165FC" w:rsidP="00EB07E0">
      <w:pPr>
        <w:spacing w:after="0" w:line="240" w:lineRule="auto"/>
      </w:pPr>
      <w:r>
        <w:separator/>
      </w:r>
    </w:p>
  </w:footnote>
  <w:footnote w:type="continuationSeparator" w:id="0">
    <w:p w14:paraId="25084769" w14:textId="77777777" w:rsidR="00D165FC" w:rsidRDefault="00D165FC"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7B7D68">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7B7D68">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3C24"/>
    <w:rsid w:val="00007D62"/>
    <w:rsid w:val="00022541"/>
    <w:rsid w:val="00025CB2"/>
    <w:rsid w:val="0003064D"/>
    <w:rsid w:val="000472DF"/>
    <w:rsid w:val="0005773B"/>
    <w:rsid w:val="000B0CFA"/>
    <w:rsid w:val="00113B9E"/>
    <w:rsid w:val="001278C4"/>
    <w:rsid w:val="0013180F"/>
    <w:rsid w:val="001338FF"/>
    <w:rsid w:val="00140C03"/>
    <w:rsid w:val="001433D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94765"/>
    <w:rsid w:val="002A79A4"/>
    <w:rsid w:val="002B2367"/>
    <w:rsid w:val="002B2A68"/>
    <w:rsid w:val="002F6BCF"/>
    <w:rsid w:val="003256ED"/>
    <w:rsid w:val="00326ABF"/>
    <w:rsid w:val="00341078"/>
    <w:rsid w:val="00345D48"/>
    <w:rsid w:val="003500E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542D0"/>
    <w:rsid w:val="004A23A8"/>
    <w:rsid w:val="004A259A"/>
    <w:rsid w:val="004C6339"/>
    <w:rsid w:val="004E01A7"/>
    <w:rsid w:val="00534580"/>
    <w:rsid w:val="00551A21"/>
    <w:rsid w:val="005820EA"/>
    <w:rsid w:val="00594490"/>
    <w:rsid w:val="00595B41"/>
    <w:rsid w:val="005D6EE1"/>
    <w:rsid w:val="005F22EE"/>
    <w:rsid w:val="005F76F0"/>
    <w:rsid w:val="00604297"/>
    <w:rsid w:val="00621F08"/>
    <w:rsid w:val="0064517E"/>
    <w:rsid w:val="00683618"/>
    <w:rsid w:val="006913AD"/>
    <w:rsid w:val="006936F8"/>
    <w:rsid w:val="0069791A"/>
    <w:rsid w:val="006C1EDF"/>
    <w:rsid w:val="006C5107"/>
    <w:rsid w:val="006E3967"/>
    <w:rsid w:val="007222CA"/>
    <w:rsid w:val="00725651"/>
    <w:rsid w:val="007555D3"/>
    <w:rsid w:val="007A0B4C"/>
    <w:rsid w:val="007A3759"/>
    <w:rsid w:val="007A6C78"/>
    <w:rsid w:val="007B7D68"/>
    <w:rsid w:val="007C01D4"/>
    <w:rsid w:val="007C4D9B"/>
    <w:rsid w:val="007D0A68"/>
    <w:rsid w:val="007D2517"/>
    <w:rsid w:val="007E3FB0"/>
    <w:rsid w:val="007E5984"/>
    <w:rsid w:val="00820C31"/>
    <w:rsid w:val="008A5D98"/>
    <w:rsid w:val="008B148F"/>
    <w:rsid w:val="008B5000"/>
    <w:rsid w:val="00900E48"/>
    <w:rsid w:val="009017D9"/>
    <w:rsid w:val="009049C0"/>
    <w:rsid w:val="00906052"/>
    <w:rsid w:val="00916A17"/>
    <w:rsid w:val="00947A0A"/>
    <w:rsid w:val="009569B5"/>
    <w:rsid w:val="00963CC6"/>
    <w:rsid w:val="00970A3B"/>
    <w:rsid w:val="00993FA4"/>
    <w:rsid w:val="009A544F"/>
    <w:rsid w:val="009A54B6"/>
    <w:rsid w:val="009A6BCA"/>
    <w:rsid w:val="009D013C"/>
    <w:rsid w:val="009E2155"/>
    <w:rsid w:val="009E69FA"/>
    <w:rsid w:val="009F2721"/>
    <w:rsid w:val="00A00F32"/>
    <w:rsid w:val="00A32152"/>
    <w:rsid w:val="00A56AC6"/>
    <w:rsid w:val="00A57D5C"/>
    <w:rsid w:val="00A6114A"/>
    <w:rsid w:val="00AB6031"/>
    <w:rsid w:val="00AD016E"/>
    <w:rsid w:val="00AD3BB7"/>
    <w:rsid w:val="00AD5CE4"/>
    <w:rsid w:val="00AE61E0"/>
    <w:rsid w:val="00B22390"/>
    <w:rsid w:val="00B22A6C"/>
    <w:rsid w:val="00B432CE"/>
    <w:rsid w:val="00B46C78"/>
    <w:rsid w:val="00B6372B"/>
    <w:rsid w:val="00B63B81"/>
    <w:rsid w:val="00B65257"/>
    <w:rsid w:val="00B74D4E"/>
    <w:rsid w:val="00B8608C"/>
    <w:rsid w:val="00B86C3A"/>
    <w:rsid w:val="00BA376B"/>
    <w:rsid w:val="00BC0053"/>
    <w:rsid w:val="00BC06CB"/>
    <w:rsid w:val="00BC28EF"/>
    <w:rsid w:val="00BE3677"/>
    <w:rsid w:val="00C0660A"/>
    <w:rsid w:val="00C317D5"/>
    <w:rsid w:val="00C41654"/>
    <w:rsid w:val="00CB1CF9"/>
    <w:rsid w:val="00CB375A"/>
    <w:rsid w:val="00CB41BD"/>
    <w:rsid w:val="00CC7F55"/>
    <w:rsid w:val="00CD4D35"/>
    <w:rsid w:val="00CF5560"/>
    <w:rsid w:val="00CF66E9"/>
    <w:rsid w:val="00CF69BF"/>
    <w:rsid w:val="00D027E9"/>
    <w:rsid w:val="00D05048"/>
    <w:rsid w:val="00D1088A"/>
    <w:rsid w:val="00D165FC"/>
    <w:rsid w:val="00D211C8"/>
    <w:rsid w:val="00D42716"/>
    <w:rsid w:val="00D5711F"/>
    <w:rsid w:val="00D617AA"/>
    <w:rsid w:val="00D731FB"/>
    <w:rsid w:val="00D8067D"/>
    <w:rsid w:val="00D927AE"/>
    <w:rsid w:val="00DA3BB6"/>
    <w:rsid w:val="00DA5F0A"/>
    <w:rsid w:val="00DC2E99"/>
    <w:rsid w:val="00DD0F6A"/>
    <w:rsid w:val="00DE5FC0"/>
    <w:rsid w:val="00DF1DE3"/>
    <w:rsid w:val="00E019E7"/>
    <w:rsid w:val="00E01F27"/>
    <w:rsid w:val="00E07609"/>
    <w:rsid w:val="00E1152E"/>
    <w:rsid w:val="00E118B0"/>
    <w:rsid w:val="00E17E2F"/>
    <w:rsid w:val="00E32CE8"/>
    <w:rsid w:val="00E34517"/>
    <w:rsid w:val="00E66A87"/>
    <w:rsid w:val="00E905A9"/>
    <w:rsid w:val="00E95E68"/>
    <w:rsid w:val="00EB07E0"/>
    <w:rsid w:val="00EB4CBB"/>
    <w:rsid w:val="00EB6A3D"/>
    <w:rsid w:val="00ED67A1"/>
    <w:rsid w:val="00EE7610"/>
    <w:rsid w:val="00EF326E"/>
    <w:rsid w:val="00F245E6"/>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B93B-876D-4588-9888-8ADB48B3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995</Words>
  <Characters>5972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7</cp:revision>
  <cp:lastPrinted>2019-11-15T10:04:00Z</cp:lastPrinted>
  <dcterms:created xsi:type="dcterms:W3CDTF">2019-11-07T09:26:00Z</dcterms:created>
  <dcterms:modified xsi:type="dcterms:W3CDTF">2020-02-03T10:18:00Z</dcterms:modified>
</cp:coreProperties>
</file>