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08F4B0BA" w:rsidR="00E07609" w:rsidRPr="0000744D" w:rsidRDefault="006700A4" w:rsidP="00500BD1">
            <w:pPr>
              <w:pStyle w:val="primenaglowek2"/>
              <w:rPr>
                <w:b w:val="0"/>
              </w:rPr>
            </w:pPr>
            <w:r>
              <w:rPr>
                <w:b w:val="0"/>
              </w:rPr>
              <w:t>Kolejne wzrosty kosztów budowy</w:t>
            </w:r>
          </w:p>
        </w:tc>
        <w:tc>
          <w:tcPr>
            <w:tcW w:w="2350" w:type="dxa"/>
          </w:tcPr>
          <w:p w14:paraId="4D9F2E79" w14:textId="77777777" w:rsidR="00E07609" w:rsidRPr="006B7A6A" w:rsidRDefault="00E07609" w:rsidP="00E07609">
            <w:pPr>
              <w:pStyle w:val="primenaglowek2"/>
            </w:pPr>
            <w:r w:rsidRPr="006B7A6A">
              <w:t>Data:</w:t>
            </w:r>
          </w:p>
          <w:p w14:paraId="6EC6BF48" w14:textId="41AA8FCC" w:rsidR="00E07609" w:rsidRPr="006B7A6A" w:rsidRDefault="006700A4" w:rsidP="00E07609">
            <w:pPr>
              <w:pStyle w:val="primepapierstyl"/>
              <w:rPr>
                <w:lang w:val="pl-PL"/>
              </w:rPr>
            </w:pPr>
            <w:r>
              <w:rPr>
                <w:lang w:val="pl-PL"/>
              </w:rPr>
              <w:t>0</w:t>
            </w:r>
            <w:r w:rsidR="0028596B">
              <w:rPr>
                <w:lang w:val="pl-PL"/>
              </w:rPr>
              <w:t>6</w:t>
            </w:r>
            <w:r w:rsidR="00A97AD1" w:rsidRPr="006B7A6A">
              <w:rPr>
                <w:lang w:val="pl-PL"/>
              </w:rPr>
              <w:t>.</w:t>
            </w:r>
            <w:r>
              <w:rPr>
                <w:lang w:val="pl-PL"/>
              </w:rPr>
              <w:t>02</w:t>
            </w:r>
            <w:r w:rsidR="00BD67D5" w:rsidRPr="006B7A6A">
              <w:rPr>
                <w:lang w:val="pl-PL"/>
              </w:rPr>
              <w:t>.201</w:t>
            </w:r>
            <w:r w:rsidR="003A7137">
              <w:rPr>
                <w:lang w:val="pl-PL"/>
              </w:rPr>
              <w:t>9</w:t>
            </w:r>
          </w:p>
        </w:tc>
        <w:tc>
          <w:tcPr>
            <w:tcW w:w="2900" w:type="dxa"/>
          </w:tcPr>
          <w:p w14:paraId="59A51980" w14:textId="77777777" w:rsidR="00E07609" w:rsidRPr="006B7A6A" w:rsidRDefault="00A97AD1" w:rsidP="00E07609">
            <w:pPr>
              <w:pStyle w:val="primenaglowek2"/>
            </w:pPr>
            <w:r w:rsidRPr="006B7A6A">
              <w:t>Quelle Locum</w:t>
            </w:r>
          </w:p>
          <w:p w14:paraId="2DD03684" w14:textId="77777777" w:rsidR="00E07609" w:rsidRPr="006B7A6A" w:rsidRDefault="005218BE" w:rsidP="00E07609">
            <w:pPr>
              <w:pStyle w:val="primenaglowek2"/>
            </w:pPr>
            <w:r w:rsidRPr="006B7A6A">
              <w:rPr>
                <w:noProof/>
              </w:rPr>
              <w:drawing>
                <wp:inline distT="0" distB="0" distL="0" distR="0" wp14:anchorId="22394867" wp14:editId="0A9B6B91">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bookmarkStart w:id="0" w:name="_GoBack"/>
        <w:bookmarkEnd w:id="0"/>
      </w:tr>
    </w:tbl>
    <w:p w14:paraId="16442216" w14:textId="47BA21C4" w:rsidR="006700A4" w:rsidRDefault="006700A4" w:rsidP="006700A4">
      <w:pPr>
        <w:pStyle w:val="primenaglowek1"/>
        <w:jc w:val="center"/>
        <w:rPr>
          <w:rFonts w:eastAsia="Times New Roman"/>
        </w:rPr>
      </w:pPr>
      <w:r>
        <w:rPr>
          <w:rFonts w:eastAsia="Times New Roman"/>
        </w:rPr>
        <w:t>Kolejne wzrosty kosztów budowy</w:t>
      </w:r>
    </w:p>
    <w:p w14:paraId="7AC22FD3" w14:textId="4AAE47E0" w:rsidR="006700A4" w:rsidRPr="006700A4" w:rsidRDefault="006700A4" w:rsidP="006700A4">
      <w:pPr>
        <w:pStyle w:val="primenaglowek2"/>
        <w:rPr>
          <w:rFonts w:eastAsia="Times New Roman" w:cstheme="minorHAnsi"/>
          <w:szCs w:val="24"/>
        </w:rPr>
      </w:pPr>
      <w:r>
        <w:rPr>
          <w:rFonts w:eastAsia="Times New Roman"/>
        </w:rPr>
        <w:t>W minionym roku deweloperzy wprowadzili na rynek rekordową liczbę mieszkań. Jednak eksperci wskazują, że może to być już koniec mieszkaniowego boomu. Od dłuższego czasu branża boryka się z problemem rosnących kosztów budowy, na które składają się m.in. drożejące materiały budowlane oraz deficyt pracowników. W 2019 roku budowa ma być jeszcze droższa.</w:t>
      </w:r>
    </w:p>
    <w:p w14:paraId="6A8AEA18" w14:textId="1B0836E4" w:rsidR="006700A4" w:rsidRPr="006700A4" w:rsidRDefault="006700A4" w:rsidP="006700A4">
      <w:pPr>
        <w:pStyle w:val="primenaglowek2"/>
        <w:rPr>
          <w:rFonts w:eastAsia="Times New Roman"/>
        </w:rPr>
      </w:pPr>
      <w:r>
        <w:rPr>
          <w:rFonts w:eastAsia="Times New Roman"/>
        </w:rPr>
        <w:t>Najwięcej w historii</w:t>
      </w:r>
    </w:p>
    <w:p w14:paraId="32AF4081" w14:textId="3A60D2A8" w:rsidR="006700A4" w:rsidRPr="006700A4" w:rsidRDefault="006700A4" w:rsidP="006700A4">
      <w:pPr>
        <w:pStyle w:val="primepapierstyl"/>
        <w:rPr>
          <w:rFonts w:eastAsia="Times New Roman"/>
          <w:lang w:val="pl-PL"/>
        </w:rPr>
      </w:pPr>
      <w:r w:rsidRPr="0028596B">
        <w:rPr>
          <w:rFonts w:eastAsia="Times New Roman"/>
          <w:lang w:val="pl-PL"/>
        </w:rPr>
        <w:t xml:space="preserve">Według najnowszych danych opublikowanych przez GUS, deweloperzy oddali w 2018 roku do użytkowania 111,6 tys. nowych mieszkań, ustanawiając tym samym nowy rekord. Dla porównania w analogicznym okresie roku poprzedniego wprowadzili na rynek o 6,2 proc. mniej lokali. W ciągu analizowanych 12 miesięcy tendencję wzrostową obserwuje się również w przypadku rozpoczętych budów oraz wydanych pozwoleń. </w:t>
      </w:r>
      <w:r w:rsidRPr="006700A4">
        <w:rPr>
          <w:rFonts w:eastAsia="Times New Roman"/>
          <w:lang w:val="pl-PL"/>
        </w:rPr>
        <w:t xml:space="preserve">W roku 2018 deweloperzy rozpoczęli budowę 131,6 tys. mieszkań oraz otrzymali zgodę na budowę 159,9 tys. lokali. </w:t>
      </w:r>
    </w:p>
    <w:p w14:paraId="2624B380" w14:textId="28B51480" w:rsidR="006700A4" w:rsidRPr="006700A4" w:rsidRDefault="006700A4" w:rsidP="006700A4">
      <w:pPr>
        <w:pStyle w:val="primepapierstyl"/>
        <w:rPr>
          <w:rFonts w:eastAsia="Times New Roman"/>
          <w:b/>
          <w:lang w:val="pl-PL"/>
        </w:rPr>
      </w:pPr>
      <w:r w:rsidRPr="0028596B">
        <w:rPr>
          <w:rFonts w:eastAsia="Times New Roman"/>
          <w:lang w:val="pl-PL"/>
        </w:rPr>
        <w:lastRenderedPageBreak/>
        <w:t xml:space="preserve">Pomimo tak optymistycznych wyników, eksperci coraz częściej przekonują, że zbliża się ochłodzenie. </w:t>
      </w:r>
      <w:r w:rsidRPr="006700A4">
        <w:rPr>
          <w:rFonts w:eastAsia="Times New Roman"/>
          <w:lang w:val="pl-PL"/>
        </w:rPr>
        <w:t>Jak twierdzi Jarosław Jędrzyński, ekspert portalu RynekPierwotny.pl, mieszkaniówka weszła w okres cyklicznego spowolnienia, co w niedalekiej przyszłości powinno przełożyć się na wyhamowanie wprowadzanych na rynek nowych inwestycji.</w:t>
      </w:r>
    </w:p>
    <w:p w14:paraId="4E37D609" w14:textId="45E044EC" w:rsidR="006700A4" w:rsidRPr="006700A4" w:rsidRDefault="006700A4" w:rsidP="006700A4">
      <w:pPr>
        <w:pStyle w:val="primenaglowek2"/>
        <w:rPr>
          <w:rFonts w:eastAsia="Times New Roman"/>
        </w:rPr>
      </w:pPr>
      <w:r>
        <w:rPr>
          <w:rFonts w:eastAsia="Times New Roman"/>
        </w:rPr>
        <w:t>Materiały budowlane - największa bolączka</w:t>
      </w:r>
    </w:p>
    <w:p w14:paraId="5A1EB422" w14:textId="47C0E415" w:rsidR="006700A4" w:rsidRPr="006700A4" w:rsidRDefault="006700A4" w:rsidP="006700A4">
      <w:pPr>
        <w:pStyle w:val="primepapierstyl"/>
        <w:rPr>
          <w:rFonts w:eastAsia="Times New Roman"/>
          <w:lang w:val="pl-PL"/>
        </w:rPr>
      </w:pPr>
      <w:r w:rsidRPr="0028596B">
        <w:rPr>
          <w:rFonts w:eastAsia="Times New Roman"/>
          <w:lang w:val="pl-PL"/>
        </w:rPr>
        <w:t xml:space="preserve">Główną przyczyną rosnących kosztów budowy, a tym samym cen mieszkań, są drożejące materiały budowlane. </w:t>
      </w:r>
      <w:r w:rsidRPr="006700A4">
        <w:rPr>
          <w:rFonts w:eastAsia="Times New Roman"/>
          <w:lang w:val="pl-PL"/>
        </w:rPr>
        <w:t xml:space="preserve">Jak podaje Grupa PSB, w 2018 roku w porównaniu do roku poprzedniego, wzrosły ceny większości materiałów budowlanych, a w 2019 spodziewane są kolejne podwyżki. </w:t>
      </w:r>
    </w:p>
    <w:p w14:paraId="54535E29" w14:textId="4DFAC502" w:rsidR="006700A4" w:rsidRPr="006700A4" w:rsidRDefault="006700A4" w:rsidP="006700A4">
      <w:pPr>
        <w:pStyle w:val="primepapierstyl"/>
        <w:rPr>
          <w:rFonts w:eastAsia="Times New Roman"/>
          <w:lang w:val="pl-PL"/>
        </w:rPr>
      </w:pPr>
      <w:r w:rsidRPr="0028596B">
        <w:rPr>
          <w:rFonts w:eastAsia="Times New Roman"/>
          <w:lang w:val="pl-PL"/>
        </w:rPr>
        <w:t xml:space="preserve">W zestawieniu z rokiem 2017 najbardziej zdrożały płyty OSB - aż o 27,9 proc., materiały do budowy ścian i kominów o 13,5 proc., a także izolacje termiczne o 8,6 proc. W ciągu roku farby i lakiery podrożały o 4,5 proc., cement i wapno o 4,1 proc., a izolacje wodochronne o 3,3 proc. Niewielkie wzrosty odnotowano w przypadku stolarki - 1,9 proc. oraz narzędzi - 1,7 proc. </w:t>
      </w:r>
      <w:r w:rsidRPr="006700A4">
        <w:rPr>
          <w:rFonts w:eastAsia="Times New Roman"/>
          <w:lang w:val="pl-PL"/>
        </w:rPr>
        <w:t>Jedyną grupą produktów, których ceny minimalnie spadły (o 0,9 proc.), jest oświetlenie oraz elektryka.</w:t>
      </w:r>
    </w:p>
    <w:p w14:paraId="2813C128" w14:textId="01F862F3" w:rsidR="006700A4" w:rsidRPr="009C5E2F" w:rsidRDefault="006700A4" w:rsidP="009C5E2F">
      <w:pPr>
        <w:pStyle w:val="primepapierstyl"/>
        <w:rPr>
          <w:rFonts w:eastAsia="Times New Roman"/>
          <w:lang w:val="pl-PL"/>
        </w:rPr>
      </w:pPr>
      <w:r w:rsidRPr="009C5E2F">
        <w:rPr>
          <w:rFonts w:eastAsia="Times New Roman"/>
          <w:lang w:val="pl-PL"/>
        </w:rPr>
        <w:t xml:space="preserve">- </w:t>
      </w:r>
      <w:r w:rsidRPr="009C5E2F">
        <w:rPr>
          <w:rFonts w:eastAsia="Times New Roman"/>
          <w:i/>
          <w:lang w:val="pl-PL"/>
        </w:rPr>
        <w:t>Wzrost cen materiałów budowlanych spowodowany jest przede wszystkim ogromnym zapotrzebowaniem rynku na tego typu produkty, co z kolei wiąże się z trwającym już od długiego czasu boomem budowlanym, obejmującym zarówno projekty deweloperskie, jak i inwestycje samorządowe oraz budowę domów jednorodzinnych</w:t>
      </w:r>
      <w:r w:rsidRPr="009C5E2F">
        <w:rPr>
          <w:rFonts w:eastAsia="Times New Roman"/>
          <w:lang w:val="pl-PL"/>
        </w:rPr>
        <w:t xml:space="preserve"> - zwraca uwagę Grzegorz Woźniak ze spółki Quelle Locum, realizującej inwestycję Park Leśny Bronowice. - </w:t>
      </w:r>
      <w:r w:rsidRPr="009C5E2F">
        <w:rPr>
          <w:rFonts w:eastAsia="Times New Roman"/>
          <w:i/>
          <w:lang w:val="pl-PL"/>
        </w:rPr>
        <w:t>Efektem takiego stanu rzeczy jest m.in. wzrost cen mieszkań</w:t>
      </w:r>
      <w:r w:rsidRPr="009C5E2F">
        <w:rPr>
          <w:rFonts w:eastAsia="Times New Roman"/>
          <w:lang w:val="pl-PL"/>
        </w:rPr>
        <w:t xml:space="preserve"> - dodaje.</w:t>
      </w:r>
    </w:p>
    <w:p w14:paraId="49258DA2" w14:textId="60556A27" w:rsidR="006700A4" w:rsidRPr="006700A4" w:rsidRDefault="006700A4" w:rsidP="006700A4">
      <w:pPr>
        <w:pStyle w:val="primenaglowek2"/>
        <w:rPr>
          <w:rFonts w:eastAsia="Times New Roman"/>
        </w:rPr>
      </w:pPr>
      <w:r>
        <w:rPr>
          <w:rFonts w:eastAsia="Times New Roman"/>
        </w:rPr>
        <w:lastRenderedPageBreak/>
        <w:t>Brakuje budowlańców</w:t>
      </w:r>
    </w:p>
    <w:p w14:paraId="533E00E3" w14:textId="47D65127" w:rsidR="006700A4" w:rsidRPr="006700A4" w:rsidRDefault="006700A4" w:rsidP="006700A4">
      <w:pPr>
        <w:pStyle w:val="primepapierstyl"/>
        <w:rPr>
          <w:rFonts w:eastAsia="Times New Roman"/>
          <w:lang w:val="pl-PL"/>
        </w:rPr>
      </w:pPr>
      <w:r w:rsidRPr="0028596B">
        <w:rPr>
          <w:rFonts w:eastAsia="Times New Roman"/>
          <w:lang w:val="pl-PL"/>
        </w:rPr>
        <w:t xml:space="preserve">Jak twierdzi prezes zarządu Polskiego Związku Pracodawców Budowlanych, w branży brakuje prawie 150 tys. pracowników. Jak podaje portal Wielkiebudowanie.pl., ewidentnie spada zainteresowanie tego typu pracą. Na każdego chętnego przypada aż 10 wolnych miejsc. Najbardziej poszukiwani są murarze, zbrojarze, cieśle oraz wykończeniowcy. </w:t>
      </w:r>
      <w:r w:rsidRPr="006700A4">
        <w:rPr>
          <w:rFonts w:eastAsia="Times New Roman"/>
          <w:lang w:val="pl-PL"/>
        </w:rPr>
        <w:t xml:space="preserve">Z największym brakiem kadrowym zmaga się województwo mazowieckie, śląskie, małopolskie, dolnośląskie, wielkopolskie i pomorskie. </w:t>
      </w:r>
    </w:p>
    <w:p w14:paraId="14CF04D6" w14:textId="03F43018" w:rsidR="006700A4" w:rsidRPr="006700A4" w:rsidRDefault="006700A4" w:rsidP="006700A4">
      <w:pPr>
        <w:pStyle w:val="primepapierstyl"/>
        <w:rPr>
          <w:rFonts w:eastAsia="Times New Roman"/>
          <w:lang w:val="pl-PL"/>
        </w:rPr>
      </w:pPr>
      <w:r w:rsidRPr="0028596B">
        <w:rPr>
          <w:rFonts w:eastAsia="Times New Roman"/>
          <w:lang w:val="pl-PL"/>
        </w:rPr>
        <w:t xml:space="preserve">Z deficytem siły roboczej wiąże się wzrost wynagrodzeń za poszczególne usługi. W 2018 roku w porównaniu do roku poprzedniego najbardziej zdrożały usługi hydrauliczne - wzrost o 30 proc. </w:t>
      </w:r>
      <w:r w:rsidRPr="006700A4">
        <w:rPr>
          <w:rFonts w:eastAsia="Times New Roman"/>
          <w:lang w:val="pl-PL"/>
        </w:rPr>
        <w:t>Wykonanie ocieplenia i elewacji jest droższe o 15 proc., a za usługi murarskie trzeba zapłacić o 11 proc. więcej niż w 2017 roku (kb.pl).</w:t>
      </w:r>
    </w:p>
    <w:p w14:paraId="64F93060" w14:textId="77777777" w:rsidR="006700A4" w:rsidRDefault="006700A4" w:rsidP="006700A4">
      <w:pPr>
        <w:pStyle w:val="primepapierstyl"/>
        <w:rPr>
          <w:rFonts w:eastAsia="Times New Roman"/>
        </w:rPr>
      </w:pPr>
      <w:r w:rsidRPr="0028596B">
        <w:rPr>
          <w:rFonts w:eastAsia="Times New Roman"/>
          <w:lang w:val="pl-PL"/>
        </w:rPr>
        <w:t xml:space="preserve">- </w:t>
      </w:r>
      <w:r w:rsidRPr="0028596B">
        <w:rPr>
          <w:rFonts w:eastAsia="Times New Roman"/>
          <w:i/>
          <w:lang w:val="pl-PL"/>
        </w:rPr>
        <w:t xml:space="preserve">Pomimo wzrostu płac w sektorze budowlanym, coraz trudniej jest pozyskać pracowników, a zwłaszcza specjalistów w swoim fachu. Ze względu na wyższe zarobki wielu z nich decyduje się na wyjazd z kraju. </w:t>
      </w:r>
      <w:r w:rsidRPr="006700A4">
        <w:rPr>
          <w:rFonts w:eastAsia="Times New Roman"/>
          <w:i/>
        </w:rPr>
        <w:t>Deficyt ten częściowo rekompensują obcokrajowcy, głównie obywatele Ukrainy. Jednak w dalszym ciągu jest to kropla w morzu potrzeb</w:t>
      </w:r>
      <w:r>
        <w:rPr>
          <w:rFonts w:eastAsia="Times New Roman"/>
        </w:rPr>
        <w:t xml:space="preserve"> - stwierdza Grzegorz Woźniak. </w:t>
      </w:r>
    </w:p>
    <w:p w14:paraId="5D91B886" w14:textId="77777777" w:rsidR="006700A4" w:rsidRDefault="006700A4" w:rsidP="006700A4">
      <w:pPr>
        <w:pStyle w:val="primepapierstyl"/>
        <w:rPr>
          <w:rFonts w:eastAsia="Times New Roman"/>
        </w:rPr>
      </w:pPr>
    </w:p>
    <w:p w14:paraId="0B9EE806" w14:textId="77777777" w:rsidR="00241843" w:rsidRPr="00BC0BC1" w:rsidRDefault="00241843" w:rsidP="003A7137">
      <w:pPr>
        <w:pStyle w:val="primenaglowek2"/>
      </w:pPr>
      <w:r w:rsidRPr="00BC0BC1">
        <w:t xml:space="preserve">Więcej informacji: </w:t>
      </w:r>
    </w:p>
    <w:p w14:paraId="6A37EA92" w14:textId="77777777" w:rsidR="00241843" w:rsidRPr="003A7137" w:rsidRDefault="00B53502" w:rsidP="003A7137">
      <w:pPr>
        <w:pStyle w:val="primepapierstyl"/>
        <w:rPr>
          <w:lang w:val="es-ES"/>
        </w:rPr>
      </w:pPr>
      <w:r w:rsidRPr="003A7137">
        <w:rPr>
          <w:lang w:val="es-ES"/>
        </w:rPr>
        <w:t>Aleksandra Maśnica</w:t>
      </w:r>
    </w:p>
    <w:p w14:paraId="7E2ECC4F" w14:textId="77777777" w:rsidR="00241843" w:rsidRPr="003A7137" w:rsidRDefault="00B53502" w:rsidP="003A7137">
      <w:pPr>
        <w:pStyle w:val="primepapierstyl"/>
        <w:rPr>
          <w:lang w:val="es-ES"/>
        </w:rPr>
      </w:pPr>
      <w:r w:rsidRPr="003A7137">
        <w:rPr>
          <w:lang w:val="es-ES"/>
        </w:rPr>
        <w:t>e-mail: aleksandra.masnica</w:t>
      </w:r>
      <w:r w:rsidR="00241843" w:rsidRPr="003A7137">
        <w:rPr>
          <w:lang w:val="es-ES"/>
        </w:rPr>
        <w:t>@primetimepr.pl</w:t>
      </w:r>
    </w:p>
    <w:p w14:paraId="6460FAC4" w14:textId="77777777" w:rsidR="00E07609" w:rsidRPr="006B7A6A" w:rsidRDefault="00241843" w:rsidP="003A7137">
      <w:pPr>
        <w:pStyle w:val="primepapierstyl"/>
        <w:rPr>
          <w:lang w:val="pl-PL"/>
        </w:rPr>
      </w:pPr>
      <w:r w:rsidRPr="006B7A6A">
        <w:rPr>
          <w:lang w:val="pl-PL"/>
        </w:rPr>
        <w:t>tel. 12 313 00 87</w:t>
      </w:r>
    </w:p>
    <w:sectPr w:rsidR="00E07609" w:rsidRPr="006B7A6A"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1B626" w14:textId="77777777" w:rsidR="004362CB" w:rsidRDefault="004362CB" w:rsidP="00EB07E0">
      <w:pPr>
        <w:spacing w:after="0" w:line="240" w:lineRule="auto"/>
      </w:pPr>
      <w:r>
        <w:separator/>
      </w:r>
    </w:p>
  </w:endnote>
  <w:endnote w:type="continuationSeparator" w:id="0">
    <w:p w14:paraId="763C3F4C" w14:textId="77777777" w:rsidR="004362CB" w:rsidRDefault="004362CB"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FCA55" w14:textId="77777777" w:rsidR="004362CB" w:rsidRDefault="004362CB" w:rsidP="00EB07E0">
      <w:pPr>
        <w:spacing w:after="0" w:line="240" w:lineRule="auto"/>
      </w:pPr>
      <w:r>
        <w:separator/>
      </w:r>
    </w:p>
  </w:footnote>
  <w:footnote w:type="continuationSeparator" w:id="0">
    <w:p w14:paraId="73215312" w14:textId="77777777" w:rsidR="004362CB" w:rsidRDefault="004362CB"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9C5E2F">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9C5E2F">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744D"/>
    <w:rsid w:val="00025CB2"/>
    <w:rsid w:val="00044B02"/>
    <w:rsid w:val="000472DF"/>
    <w:rsid w:val="000D7E18"/>
    <w:rsid w:val="000E583D"/>
    <w:rsid w:val="0012470C"/>
    <w:rsid w:val="00183AD7"/>
    <w:rsid w:val="00184019"/>
    <w:rsid w:val="00192D90"/>
    <w:rsid w:val="001F17F9"/>
    <w:rsid w:val="0021341D"/>
    <w:rsid w:val="002256E3"/>
    <w:rsid w:val="00236619"/>
    <w:rsid w:val="00241843"/>
    <w:rsid w:val="0024270E"/>
    <w:rsid w:val="002510E3"/>
    <w:rsid w:val="002625F0"/>
    <w:rsid w:val="0028596B"/>
    <w:rsid w:val="00297C0F"/>
    <w:rsid w:val="002B103F"/>
    <w:rsid w:val="002D02E9"/>
    <w:rsid w:val="00325EE2"/>
    <w:rsid w:val="00365C43"/>
    <w:rsid w:val="0037191A"/>
    <w:rsid w:val="00382BCE"/>
    <w:rsid w:val="003A05D7"/>
    <w:rsid w:val="003A6A3E"/>
    <w:rsid w:val="003A7137"/>
    <w:rsid w:val="003D16EE"/>
    <w:rsid w:val="003E0117"/>
    <w:rsid w:val="003F0C15"/>
    <w:rsid w:val="0040088D"/>
    <w:rsid w:val="0040097F"/>
    <w:rsid w:val="004127D7"/>
    <w:rsid w:val="00415459"/>
    <w:rsid w:val="004362CB"/>
    <w:rsid w:val="00443496"/>
    <w:rsid w:val="00466C4B"/>
    <w:rsid w:val="00493BB7"/>
    <w:rsid w:val="004A1F76"/>
    <w:rsid w:val="004A259A"/>
    <w:rsid w:val="004E01A7"/>
    <w:rsid w:val="00500BD1"/>
    <w:rsid w:val="005053FE"/>
    <w:rsid w:val="005218BE"/>
    <w:rsid w:val="005A1912"/>
    <w:rsid w:val="005C296A"/>
    <w:rsid w:val="005F76F0"/>
    <w:rsid w:val="0064203F"/>
    <w:rsid w:val="006700A4"/>
    <w:rsid w:val="00672549"/>
    <w:rsid w:val="00694A6D"/>
    <w:rsid w:val="006B1CBC"/>
    <w:rsid w:val="006B7A6A"/>
    <w:rsid w:val="006E51E6"/>
    <w:rsid w:val="007019B2"/>
    <w:rsid w:val="00710E43"/>
    <w:rsid w:val="007222CA"/>
    <w:rsid w:val="00725651"/>
    <w:rsid w:val="0074262A"/>
    <w:rsid w:val="007555D3"/>
    <w:rsid w:val="00766DCF"/>
    <w:rsid w:val="007C01D4"/>
    <w:rsid w:val="007D0A68"/>
    <w:rsid w:val="007E3FB0"/>
    <w:rsid w:val="007E6320"/>
    <w:rsid w:val="00801351"/>
    <w:rsid w:val="00826351"/>
    <w:rsid w:val="008B1FFB"/>
    <w:rsid w:val="008B5000"/>
    <w:rsid w:val="008C7DCC"/>
    <w:rsid w:val="009049C0"/>
    <w:rsid w:val="009449FD"/>
    <w:rsid w:val="00972E63"/>
    <w:rsid w:val="009919CA"/>
    <w:rsid w:val="009A3515"/>
    <w:rsid w:val="009C3525"/>
    <w:rsid w:val="009C5E2F"/>
    <w:rsid w:val="009D013C"/>
    <w:rsid w:val="009E2150"/>
    <w:rsid w:val="009E2155"/>
    <w:rsid w:val="009F2721"/>
    <w:rsid w:val="00A32152"/>
    <w:rsid w:val="00A36644"/>
    <w:rsid w:val="00A436B5"/>
    <w:rsid w:val="00A5395E"/>
    <w:rsid w:val="00A626F8"/>
    <w:rsid w:val="00A7187D"/>
    <w:rsid w:val="00A97AD1"/>
    <w:rsid w:val="00AD3BB7"/>
    <w:rsid w:val="00B21554"/>
    <w:rsid w:val="00B53502"/>
    <w:rsid w:val="00B57E60"/>
    <w:rsid w:val="00B6113A"/>
    <w:rsid w:val="00B63600"/>
    <w:rsid w:val="00B70B9F"/>
    <w:rsid w:val="00B7672D"/>
    <w:rsid w:val="00B86C3A"/>
    <w:rsid w:val="00BC0BC1"/>
    <w:rsid w:val="00BD5243"/>
    <w:rsid w:val="00BD67D5"/>
    <w:rsid w:val="00C53051"/>
    <w:rsid w:val="00C71C00"/>
    <w:rsid w:val="00CD6338"/>
    <w:rsid w:val="00CF277D"/>
    <w:rsid w:val="00D12F02"/>
    <w:rsid w:val="00D42716"/>
    <w:rsid w:val="00D5564C"/>
    <w:rsid w:val="00D70661"/>
    <w:rsid w:val="00DC0594"/>
    <w:rsid w:val="00DD0F6A"/>
    <w:rsid w:val="00DF479C"/>
    <w:rsid w:val="00E07609"/>
    <w:rsid w:val="00E1152E"/>
    <w:rsid w:val="00E118B0"/>
    <w:rsid w:val="00E545AE"/>
    <w:rsid w:val="00E905A9"/>
    <w:rsid w:val="00EB07E0"/>
    <w:rsid w:val="00EB28B0"/>
    <w:rsid w:val="00EB4CBB"/>
    <w:rsid w:val="00EC3747"/>
    <w:rsid w:val="00ED1255"/>
    <w:rsid w:val="00EF60AA"/>
    <w:rsid w:val="00EF7A1E"/>
    <w:rsid w:val="00F55396"/>
    <w:rsid w:val="00F71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9A1E50A7-AEC2-473F-ABB5-C014BE57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8094-65C2-444D-85AB-5B13DA25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550</Words>
  <Characters>3305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CJ Blok Sp.z o.o.</cp:lastModifiedBy>
  <cp:revision>13</cp:revision>
  <cp:lastPrinted>2019-01-29T06:45:00Z</cp:lastPrinted>
  <dcterms:created xsi:type="dcterms:W3CDTF">2018-08-22T06:48:00Z</dcterms:created>
  <dcterms:modified xsi:type="dcterms:W3CDTF">2019-02-06T08:58:00Z</dcterms:modified>
</cp:coreProperties>
</file>