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4F50A7" w:rsidTr="00731308">
        <w:trPr>
          <w:trHeight w:val="2667"/>
        </w:trPr>
        <w:tc>
          <w:tcPr>
            <w:tcW w:w="4361" w:type="dxa"/>
          </w:tcPr>
          <w:p w:rsidR="00E07609" w:rsidRPr="004F50A7" w:rsidRDefault="000045A5" w:rsidP="00E07609">
            <w:pPr>
              <w:pStyle w:val="primenaglowek2"/>
            </w:pPr>
            <w:r w:rsidRPr="004F50A7">
              <w:t>Artykuł ekspercki</w:t>
            </w:r>
            <w:r w:rsidR="00E07609" w:rsidRPr="004F50A7">
              <w:t>:</w:t>
            </w:r>
          </w:p>
          <w:p w:rsidR="00E07609" w:rsidRPr="004F50A7" w:rsidRDefault="003466A8" w:rsidP="006E4C7C">
            <w:pPr>
              <w:pStyle w:val="primepapierstyl"/>
              <w:rPr>
                <w:lang w:val="pl-PL"/>
              </w:rPr>
            </w:pPr>
            <w:r w:rsidRPr="004F50A7">
              <w:rPr>
                <w:lang w:val="pl-PL"/>
              </w:rPr>
              <w:t>Liczba mieszkań drastycznie spadnie?</w:t>
            </w:r>
          </w:p>
        </w:tc>
        <w:tc>
          <w:tcPr>
            <w:tcW w:w="2410" w:type="dxa"/>
          </w:tcPr>
          <w:p w:rsidR="00E07609" w:rsidRPr="004F50A7" w:rsidRDefault="00E07609" w:rsidP="00E07609">
            <w:pPr>
              <w:pStyle w:val="primenaglowek2"/>
            </w:pPr>
            <w:r w:rsidRPr="004F50A7">
              <w:t>Data:</w:t>
            </w:r>
          </w:p>
          <w:p w:rsidR="00E07609" w:rsidRPr="004F50A7" w:rsidRDefault="003466A8" w:rsidP="00E07609">
            <w:pPr>
              <w:pStyle w:val="primepapierstyl"/>
              <w:rPr>
                <w:lang w:val="pl-PL"/>
              </w:rPr>
            </w:pPr>
            <w:r w:rsidRPr="004F50A7">
              <w:rPr>
                <w:lang w:val="pl-PL"/>
              </w:rPr>
              <w:t>30</w:t>
            </w:r>
            <w:r w:rsidR="003A51DA" w:rsidRPr="004F50A7">
              <w:rPr>
                <w:lang w:val="pl-PL"/>
              </w:rPr>
              <w:t>.</w:t>
            </w:r>
            <w:r w:rsidR="00B13F16" w:rsidRPr="004F50A7">
              <w:rPr>
                <w:lang w:val="pl-PL"/>
              </w:rPr>
              <w:t>01.2018</w:t>
            </w:r>
          </w:p>
        </w:tc>
        <w:tc>
          <w:tcPr>
            <w:tcW w:w="2441" w:type="dxa"/>
          </w:tcPr>
          <w:p w:rsidR="00E07609" w:rsidRPr="004F50A7" w:rsidRDefault="009B74E5" w:rsidP="00E07609">
            <w:pPr>
              <w:pStyle w:val="primenaglowek2"/>
            </w:pPr>
            <w:r w:rsidRPr="004F50A7">
              <w:t xml:space="preserve">Grupa </w:t>
            </w:r>
            <w:proofErr w:type="spellStart"/>
            <w:r w:rsidRPr="004F50A7">
              <w:t>Geo</w:t>
            </w:r>
            <w:proofErr w:type="spellEnd"/>
          </w:p>
          <w:p w:rsidR="00E07609" w:rsidRPr="004F50A7" w:rsidRDefault="009B74E5" w:rsidP="00E07609">
            <w:pPr>
              <w:pStyle w:val="primenaglowek2"/>
            </w:pPr>
            <w:r w:rsidRPr="004F50A7">
              <w:rPr>
                <w:noProof/>
              </w:rPr>
              <w:drawing>
                <wp:inline distT="0" distB="0" distL="0" distR="0" wp14:anchorId="22BC2193" wp14:editId="2660CA8A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6A8" w:rsidRPr="004F50A7" w:rsidRDefault="003466A8" w:rsidP="003466A8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4F50A7">
        <w:rPr>
          <w:rFonts w:eastAsia="Times New Roman"/>
        </w:rPr>
        <w:t>Liczba mieszkań drastycznie spadnie?</w:t>
      </w:r>
    </w:p>
    <w:p w:rsidR="003466A8" w:rsidRPr="004F50A7" w:rsidRDefault="003466A8" w:rsidP="003466A8">
      <w:pPr>
        <w:pStyle w:val="primenaglowek2"/>
        <w:rPr>
          <w:rFonts w:eastAsia="Times New Roman"/>
        </w:rPr>
      </w:pPr>
      <w:r w:rsidRPr="004F50A7">
        <w:rPr>
          <w:rFonts w:eastAsia="Times New Roman"/>
        </w:rPr>
        <w:t xml:space="preserve">Rynek mieszkaniowy jeszcze nigdy nie był w tak dobrej formie jak obecnie. Pozytywny trend może jednak zaburzyć nowelizacja ustawy o planowaniu i zagospodarowaniu przestrzennym, która może przyczynić się do znacznego zmniejszenia liczby budowanych w Polsce mieszkań. </w:t>
      </w:r>
    </w:p>
    <w:p w:rsidR="003466A8" w:rsidRPr="004F50A7" w:rsidRDefault="003466A8" w:rsidP="003466A8">
      <w:pPr>
        <w:pStyle w:val="primenaglowek2"/>
        <w:rPr>
          <w:rFonts w:eastAsia="Times New Roman"/>
        </w:rPr>
      </w:pPr>
      <w:r w:rsidRPr="004F50A7">
        <w:rPr>
          <w:rFonts w:eastAsia="Times New Roman"/>
        </w:rPr>
        <w:t>Tak dobrze już nie będzie</w:t>
      </w:r>
    </w:p>
    <w:p w:rsidR="003466A8" w:rsidRPr="004F50A7" w:rsidRDefault="003466A8" w:rsidP="003466A8">
      <w:pPr>
        <w:pStyle w:val="primepapierstyl"/>
        <w:rPr>
          <w:rFonts w:eastAsia="Times New Roman"/>
          <w:lang w:val="pl-PL"/>
        </w:rPr>
      </w:pPr>
      <w:r w:rsidRPr="004F50A7">
        <w:rPr>
          <w:rFonts w:eastAsia="Times New Roman"/>
          <w:lang w:val="pl-PL"/>
        </w:rPr>
        <w:t>Najnowszy raport REAS, ostatecznie potwierdza, że 2017 rok był rekordowy pod względem liczby sprzedanych lokali. W całym minionym roku zrealizowano 72,7 tys. transakcji, a więc o 10,7 tys. więcej niż w 2016. Kolejny rekord dotyczył mieszkań wprowadzonych na rynek - 67,3 tys. Było to o 3,6% więcej lokali niż w roku poprzednim. Nigdy wcześniej w historii polskiego rynku nieruchomości nie sprzedano w czterech kolejnych kwartałach tak dużej liczby mieszkań.</w:t>
      </w:r>
    </w:p>
    <w:p w:rsidR="003466A8" w:rsidRPr="004F50A7" w:rsidRDefault="003466A8" w:rsidP="003466A8">
      <w:pPr>
        <w:pStyle w:val="primepapierstyl"/>
        <w:rPr>
          <w:rFonts w:eastAsia="Times New Roman"/>
          <w:lang w:val="pl-PL"/>
        </w:rPr>
      </w:pPr>
      <w:r w:rsidRPr="004F50A7">
        <w:rPr>
          <w:rFonts w:eastAsia="Times New Roman"/>
          <w:lang w:val="pl-PL"/>
        </w:rPr>
        <w:t xml:space="preserve">- </w:t>
      </w:r>
      <w:r w:rsidRPr="004F50A7">
        <w:rPr>
          <w:rFonts w:eastAsia="Times New Roman"/>
          <w:i/>
          <w:lang w:val="pl-PL"/>
        </w:rPr>
        <w:t xml:space="preserve">To był naprawdę dobry rok dla deweloperów. Sprzyjała temu sytuacja gospodarcza, umiarkowana inflacja, a także niskie bezrobocie. Jednak obawiam się, że sytuacja ta </w:t>
      </w:r>
      <w:r w:rsidRPr="004F50A7">
        <w:rPr>
          <w:rFonts w:eastAsia="Times New Roman"/>
          <w:i/>
          <w:lang w:val="pl-PL"/>
        </w:rPr>
        <w:lastRenderedPageBreak/>
        <w:t xml:space="preserve">może ulec zmianie po wprowadzeniu nowych regulacji dotyczących procesu inwestycyjnego </w:t>
      </w:r>
      <w:r w:rsidRPr="004F50A7">
        <w:rPr>
          <w:rFonts w:eastAsia="Times New Roman"/>
          <w:lang w:val="pl-PL"/>
        </w:rPr>
        <w:t xml:space="preserve">- twierdzi Joanna Zaremba-Śmietańska, prezes Grupy Deweloperskiej </w:t>
      </w:r>
      <w:proofErr w:type="spellStart"/>
      <w:r w:rsidRPr="004F50A7">
        <w:rPr>
          <w:rFonts w:eastAsia="Times New Roman"/>
          <w:lang w:val="pl-PL"/>
        </w:rPr>
        <w:t>Geo</w:t>
      </w:r>
      <w:proofErr w:type="spellEnd"/>
      <w:r w:rsidRPr="004F50A7">
        <w:rPr>
          <w:rFonts w:eastAsia="Times New Roman"/>
          <w:lang w:val="pl-PL"/>
        </w:rPr>
        <w:t>.</w:t>
      </w:r>
    </w:p>
    <w:p w:rsidR="003466A8" w:rsidRPr="004F50A7" w:rsidRDefault="003466A8" w:rsidP="003466A8">
      <w:pPr>
        <w:pStyle w:val="primepapierstyl"/>
        <w:rPr>
          <w:rFonts w:eastAsia="Times New Roman"/>
          <w:lang w:val="pl-PL"/>
        </w:rPr>
      </w:pPr>
      <w:r w:rsidRPr="004F50A7">
        <w:rPr>
          <w:rFonts w:eastAsia="Times New Roman"/>
          <w:lang w:val="pl-PL"/>
        </w:rPr>
        <w:t>Zaledwie 30% powierzchni Polski jest pokryte miejscowymi planami zagospodarowania przestrzennego, które dokładnie określają, jakie nieruchomości i w których miejscach można budować. W przypadku braku takich planów jedynym sposobem na wybudowanie inwestycji jest uzyskanie tzw. wuzetki, czyli decyzji o warunkach zabudowy. Obecnie taką decyzję  można otrzymać, nawet gdy teren nie graniczy bezpośrednio z żadną zabudowaną działką. Spełniony musi zostać wymóg zachowania ładu przestrzennego i szeroko rozumianego dobrego sąsiedztwa. Przepisy te mają jednak ulec diametralnym zmianom.</w:t>
      </w:r>
    </w:p>
    <w:p w:rsidR="003466A8" w:rsidRPr="004F50A7" w:rsidRDefault="003466A8" w:rsidP="003466A8">
      <w:pPr>
        <w:pStyle w:val="primenaglowek2"/>
        <w:rPr>
          <w:rFonts w:eastAsia="Times New Roman"/>
        </w:rPr>
      </w:pPr>
      <w:r w:rsidRPr="004F50A7">
        <w:rPr>
          <w:rFonts w:eastAsia="Times New Roman"/>
        </w:rPr>
        <w:t>Wuzetka nie dla każdego</w:t>
      </w:r>
    </w:p>
    <w:p w:rsidR="003466A8" w:rsidRPr="004F50A7" w:rsidRDefault="003466A8" w:rsidP="003466A8">
      <w:pPr>
        <w:pStyle w:val="primepapierstyl"/>
        <w:rPr>
          <w:rFonts w:eastAsia="Times New Roman"/>
          <w:color w:val="E06666"/>
          <w:lang w:val="pl-PL"/>
        </w:rPr>
      </w:pPr>
      <w:r w:rsidRPr="004F50A7">
        <w:rPr>
          <w:rFonts w:eastAsia="Times New Roman"/>
          <w:lang w:val="pl-PL"/>
        </w:rPr>
        <w:t>Zgodnie z projektem zmian w ustawie o planowaniu i zagospodarowaniu przestrzennym wuzetki będą wydawane wyłącznie wtedy, gdy działka będzie graniczyła bezpośrednio z innym zabudowanym terenem. Projekt ten przewiduje bardzo wąskie rozumienie sąsiedztwa. Przykładowo, jeżeli z jednej strony działki znajduje się droga, a z drugiej pusta działka, inwestor nie będzie mógł rozpocząć budowy. Może się okazać, że wiele gruntów nabytych w celach inwestycyjnych znacznie straci na wartości, ponieważ nie będzie można ich zabudować. W takiej sytuacji znajdą się przede wszystkim deweloperzy planujący budowę osiedli na obrzeżach miast, gdyż obszary te często nie są jeszcze zabudowane.</w:t>
      </w:r>
    </w:p>
    <w:p w:rsidR="003466A8" w:rsidRPr="004F50A7" w:rsidRDefault="003466A8" w:rsidP="003466A8">
      <w:pPr>
        <w:pStyle w:val="primepapierstyl"/>
        <w:rPr>
          <w:rFonts w:eastAsia="Times New Roman"/>
          <w:highlight w:val="white"/>
          <w:lang w:val="pl-PL"/>
        </w:rPr>
      </w:pPr>
      <w:r w:rsidRPr="004F50A7">
        <w:rPr>
          <w:rFonts w:eastAsia="Times New Roman"/>
          <w:highlight w:val="white"/>
          <w:lang w:val="pl-PL"/>
        </w:rPr>
        <w:lastRenderedPageBreak/>
        <w:t>Zmieni się też termin zawieszenia przez gminę postępowania w sprawie ustalenia warunków zabudowy z 9 do 18 miesięcy, co w praktyce może oznaczać blokowanie procesów inwestycyjnych. Nowelizacja ustawy przewiduje również, że decyzje o warunkach zabudowy, które zostały już wydane, po trzech latach stracą</w:t>
      </w:r>
      <w:r w:rsidR="004F50A7" w:rsidRPr="004F50A7">
        <w:rPr>
          <w:rFonts w:eastAsia="Times New Roman"/>
          <w:highlight w:val="white"/>
          <w:lang w:val="pl-PL"/>
        </w:rPr>
        <w:t xml:space="preserve"> ważność. Obecnie decyzje te są</w:t>
      </w:r>
      <w:r w:rsidRPr="004F50A7">
        <w:rPr>
          <w:rFonts w:eastAsia="Times New Roman"/>
          <w:highlight w:val="white"/>
          <w:lang w:val="pl-PL"/>
        </w:rPr>
        <w:t xml:space="preserve"> wydawane bezterminowo.</w:t>
      </w:r>
    </w:p>
    <w:p w:rsidR="003466A8" w:rsidRPr="004F50A7" w:rsidRDefault="003466A8" w:rsidP="003466A8">
      <w:pPr>
        <w:pStyle w:val="primepapierstyl"/>
        <w:rPr>
          <w:rFonts w:eastAsia="Times New Roman"/>
          <w:highlight w:val="white"/>
          <w:lang w:val="pl-PL"/>
        </w:rPr>
      </w:pPr>
      <w:r w:rsidRPr="004F50A7">
        <w:rPr>
          <w:rFonts w:eastAsia="Times New Roman"/>
          <w:highlight w:val="white"/>
          <w:lang w:val="pl-PL"/>
        </w:rPr>
        <w:t xml:space="preserve">- </w:t>
      </w:r>
      <w:r w:rsidRPr="004F50A7">
        <w:rPr>
          <w:rFonts w:eastAsia="Times New Roman"/>
          <w:i/>
          <w:highlight w:val="white"/>
          <w:lang w:val="pl-PL"/>
        </w:rPr>
        <w:t xml:space="preserve">Zapisy ustawy są niejasne i mogą wprowadzić wiele problemów interpretacyjnych. Deweloperzy, którym uda się otrzymać decyzję, rozpoczną budowę szybciej, niż zamierzali. Niektórzy mogą nie zdążyć w ciągu trzech lat z przygotowaniem całej dokumentacji projektowej </w:t>
      </w:r>
      <w:r w:rsidRPr="004F50A7">
        <w:rPr>
          <w:rFonts w:eastAsia="Times New Roman"/>
          <w:highlight w:val="white"/>
          <w:lang w:val="pl-PL"/>
        </w:rPr>
        <w:t xml:space="preserve">- twierdzi prezes Grupy Deweloperskiej </w:t>
      </w:r>
      <w:proofErr w:type="spellStart"/>
      <w:r w:rsidRPr="004F50A7">
        <w:rPr>
          <w:rFonts w:eastAsia="Times New Roman"/>
          <w:highlight w:val="white"/>
          <w:lang w:val="pl-PL"/>
        </w:rPr>
        <w:t>Geo</w:t>
      </w:r>
      <w:proofErr w:type="spellEnd"/>
      <w:r w:rsidRPr="004F50A7">
        <w:rPr>
          <w:rFonts w:eastAsia="Times New Roman"/>
          <w:highlight w:val="white"/>
          <w:lang w:val="pl-PL"/>
        </w:rPr>
        <w:t xml:space="preserve">. - </w:t>
      </w:r>
      <w:r w:rsidRPr="004F50A7">
        <w:rPr>
          <w:rFonts w:eastAsia="Times New Roman"/>
          <w:i/>
          <w:highlight w:val="white"/>
          <w:lang w:val="pl-PL"/>
        </w:rPr>
        <w:t xml:space="preserve">Takie utrudnienie procesu inwestycyjnego wpłynie na spadek podaży mieszkań, a ceny ziemi </w:t>
      </w:r>
      <w:bookmarkStart w:id="1" w:name="_GoBack"/>
      <w:bookmarkEnd w:id="1"/>
      <w:r w:rsidRPr="004F50A7">
        <w:rPr>
          <w:rFonts w:eastAsia="Times New Roman"/>
          <w:i/>
          <w:highlight w:val="white"/>
          <w:lang w:val="pl-PL"/>
        </w:rPr>
        <w:t>objęte planami miejscowymi z pewnością wzrosną</w:t>
      </w:r>
      <w:r w:rsidRPr="004F50A7">
        <w:rPr>
          <w:rFonts w:eastAsia="Times New Roman"/>
          <w:highlight w:val="white"/>
          <w:lang w:val="pl-PL"/>
        </w:rPr>
        <w:t xml:space="preserve"> - dodaje.</w:t>
      </w:r>
    </w:p>
    <w:p w:rsidR="003466A8" w:rsidRPr="004F50A7" w:rsidRDefault="003466A8" w:rsidP="003466A8">
      <w:pPr>
        <w:pStyle w:val="primenaglowek2"/>
        <w:rPr>
          <w:rFonts w:eastAsia="Times New Roman"/>
          <w:highlight w:val="white"/>
        </w:rPr>
      </w:pPr>
      <w:r w:rsidRPr="004F50A7">
        <w:rPr>
          <w:rFonts w:eastAsia="Times New Roman"/>
          <w:highlight w:val="white"/>
        </w:rPr>
        <w:t>Koniec z budowaniem etapami</w:t>
      </w:r>
    </w:p>
    <w:p w:rsidR="003466A8" w:rsidRPr="004F50A7" w:rsidRDefault="003466A8" w:rsidP="003466A8">
      <w:pPr>
        <w:pStyle w:val="primepapierstyl"/>
        <w:rPr>
          <w:rFonts w:eastAsia="Times New Roman"/>
          <w:highlight w:val="white"/>
          <w:lang w:val="pl-PL"/>
        </w:rPr>
      </w:pPr>
      <w:r w:rsidRPr="004F50A7">
        <w:rPr>
          <w:rFonts w:eastAsia="Times New Roman"/>
          <w:highlight w:val="white"/>
          <w:lang w:val="pl-PL"/>
        </w:rPr>
        <w:t>Projekt ustawy przewiduje likwidację etapowych pozwoleń na budowę. Obecnie inwestorzy uzyskują decyzję o warunkach zabudowy na poszczególne obiekty, które mogą funkcjonować samodzielnie. Dzięki temu możliwe jest budowanie osiedli etapami, co znacznie ułatwia cały proces inwestycyjny. Z chwilą wejścia w życie nowelizacji, deweloper będzie zobligowany do przedstawienia kompletnego projektu, łącznie z informacją o liczbie mieszkań, miejscach parkingowych i niezbędnej infrastrukturze.</w:t>
      </w:r>
    </w:p>
    <w:p w:rsidR="003466A8" w:rsidRPr="004F50A7" w:rsidRDefault="003466A8" w:rsidP="003466A8">
      <w:pPr>
        <w:pStyle w:val="primepapierstyl"/>
        <w:rPr>
          <w:rFonts w:eastAsia="Times New Roman"/>
          <w:highlight w:val="white"/>
          <w:lang w:val="pl-PL"/>
        </w:rPr>
      </w:pPr>
      <w:r w:rsidRPr="004F50A7">
        <w:rPr>
          <w:rFonts w:eastAsia="Times New Roman"/>
          <w:highlight w:val="white"/>
          <w:lang w:val="pl-PL"/>
        </w:rPr>
        <w:t xml:space="preserve">- </w:t>
      </w:r>
      <w:r w:rsidRPr="004F50A7">
        <w:rPr>
          <w:rFonts w:eastAsia="Times New Roman"/>
          <w:i/>
          <w:highlight w:val="white"/>
          <w:lang w:val="pl-PL"/>
        </w:rPr>
        <w:t xml:space="preserve">Podział inwestycji na części umożliwia rozłożenie kosztów w czasie, co jest bardzo pomocne przy budowie dużego osiedla, które powstaje latami. Zakaz etapowania wiąże się z ogromnymi wydatkami. W szczególności odczują to mniejsze firmy </w:t>
      </w:r>
      <w:r w:rsidRPr="004F50A7">
        <w:rPr>
          <w:rFonts w:eastAsia="Times New Roman"/>
          <w:i/>
          <w:highlight w:val="white"/>
          <w:lang w:val="pl-PL"/>
        </w:rPr>
        <w:lastRenderedPageBreak/>
        <w:t xml:space="preserve">deweloperskie </w:t>
      </w:r>
      <w:r w:rsidRPr="004F50A7">
        <w:rPr>
          <w:rFonts w:eastAsia="Times New Roman"/>
          <w:highlight w:val="white"/>
          <w:lang w:val="pl-PL"/>
        </w:rPr>
        <w:t xml:space="preserve">- wyjaśnia </w:t>
      </w:r>
      <w:r w:rsidRPr="004F50A7">
        <w:rPr>
          <w:rFonts w:eastAsia="Times New Roman"/>
          <w:lang w:val="pl-PL"/>
        </w:rPr>
        <w:t xml:space="preserve">Joanna Zaremba-Śmietańska. - </w:t>
      </w:r>
      <w:r w:rsidRPr="004F50A7">
        <w:rPr>
          <w:rFonts w:eastAsia="Times New Roman"/>
          <w:i/>
          <w:highlight w:val="white"/>
          <w:lang w:val="pl-PL"/>
        </w:rPr>
        <w:t>Wiele inwestycji może się bardzo opóźnić lub po prostu nie zostaną zrealizowane</w:t>
      </w:r>
      <w:r w:rsidRPr="004F50A7">
        <w:rPr>
          <w:rFonts w:eastAsia="Times New Roman"/>
          <w:highlight w:val="white"/>
          <w:lang w:val="pl-PL"/>
        </w:rPr>
        <w:t xml:space="preserve"> - dodaje.</w:t>
      </w:r>
    </w:p>
    <w:p w:rsidR="003466A8" w:rsidRPr="004F50A7" w:rsidRDefault="003466A8" w:rsidP="003466A8">
      <w:pPr>
        <w:pStyle w:val="primepapierstyl"/>
        <w:rPr>
          <w:lang w:val="pl-PL"/>
        </w:rPr>
      </w:pPr>
      <w:r w:rsidRPr="004F50A7">
        <w:rPr>
          <w:rFonts w:eastAsia="Times New Roman"/>
          <w:lang w:val="pl-PL"/>
        </w:rPr>
        <w:t>Nowelizacja ustawy o planowaniu i zagospodarowaniu przestrzennym może doprowadzić do znacznego spowolnienia rynku nieruchomości. Utrudnienia z otrzymaniem decyzji o warunkach zabudowy, ryzyko wygaszenia już wydanych decyzji czy likwidacja etapowania inwestycji mogą sprawić, że deweloperzy nie będą w stanie wprowadzać do sprzedaży tylu mieszkań, co dotychczas, przez co ich liczba znacznie spadnie, a ceny wzrosną.</w:t>
      </w:r>
    </w:p>
    <w:p w:rsidR="003466A8" w:rsidRPr="004F50A7" w:rsidRDefault="003466A8" w:rsidP="009B74E5">
      <w:pPr>
        <w:pStyle w:val="primepapierstyl"/>
        <w:rPr>
          <w:lang w:val="pl-PL"/>
        </w:rPr>
      </w:pPr>
    </w:p>
    <w:p w:rsidR="003466A8" w:rsidRPr="004F50A7" w:rsidRDefault="003466A8" w:rsidP="009B74E5">
      <w:pPr>
        <w:pStyle w:val="primepapierstyl"/>
        <w:rPr>
          <w:lang w:val="pl-PL"/>
        </w:rPr>
      </w:pPr>
    </w:p>
    <w:p w:rsidR="003466A8" w:rsidRPr="004F50A7" w:rsidRDefault="003466A8" w:rsidP="009B74E5">
      <w:pPr>
        <w:pStyle w:val="primepapierstyl"/>
        <w:rPr>
          <w:lang w:val="pl-PL"/>
        </w:rPr>
      </w:pPr>
    </w:p>
    <w:p w:rsidR="003466A8" w:rsidRPr="004F50A7" w:rsidRDefault="003466A8" w:rsidP="009B74E5">
      <w:pPr>
        <w:pStyle w:val="primepapierstyl"/>
        <w:rPr>
          <w:lang w:val="pl-PL"/>
        </w:rPr>
      </w:pPr>
    </w:p>
    <w:p w:rsidR="003466A8" w:rsidRPr="004F50A7" w:rsidRDefault="003466A8" w:rsidP="009B74E5">
      <w:pPr>
        <w:pStyle w:val="primepapierstyl"/>
        <w:rPr>
          <w:lang w:val="pl-PL"/>
        </w:rPr>
      </w:pPr>
    </w:p>
    <w:p w:rsidR="003466A8" w:rsidRPr="004F50A7" w:rsidRDefault="003466A8" w:rsidP="009B74E5">
      <w:pPr>
        <w:pStyle w:val="primepapierstyl"/>
        <w:rPr>
          <w:lang w:val="pl-PL"/>
        </w:rPr>
      </w:pPr>
    </w:p>
    <w:p w:rsidR="009B74E5" w:rsidRPr="004F50A7" w:rsidRDefault="00E83491" w:rsidP="009B74E5">
      <w:pPr>
        <w:pStyle w:val="primepapierstyl"/>
        <w:rPr>
          <w:lang w:val="pl-PL"/>
        </w:rPr>
      </w:pPr>
      <w:r w:rsidRPr="004F50A7">
        <w:rPr>
          <w:lang w:val="pl-PL"/>
        </w:rPr>
        <w:t xml:space="preserve">. . . . . . . . . . . . . . . . . </w:t>
      </w:r>
    </w:p>
    <w:p w:rsidR="009B74E5" w:rsidRPr="004F50A7" w:rsidRDefault="009B74E5" w:rsidP="00E83491">
      <w:pPr>
        <w:pStyle w:val="primenaglowek2"/>
      </w:pPr>
      <w:r w:rsidRPr="004F50A7">
        <w:t xml:space="preserve">Więcej informacji: </w:t>
      </w:r>
    </w:p>
    <w:p w:rsidR="009B74E5" w:rsidRPr="004F50A7" w:rsidRDefault="009B74E5" w:rsidP="009B74E5">
      <w:pPr>
        <w:pStyle w:val="primepapierstyl"/>
        <w:rPr>
          <w:lang w:val="pl-PL"/>
        </w:rPr>
      </w:pPr>
      <w:r w:rsidRPr="004F50A7">
        <w:rPr>
          <w:lang w:val="pl-PL"/>
        </w:rPr>
        <w:t xml:space="preserve">Katarzyna </w:t>
      </w:r>
      <w:proofErr w:type="spellStart"/>
      <w:r w:rsidRPr="004F50A7">
        <w:rPr>
          <w:lang w:val="pl-PL"/>
        </w:rPr>
        <w:t>Krupicka</w:t>
      </w:r>
      <w:proofErr w:type="spellEnd"/>
    </w:p>
    <w:p w:rsidR="009B74E5" w:rsidRPr="004F50A7" w:rsidRDefault="009B74E5" w:rsidP="009B74E5">
      <w:pPr>
        <w:pStyle w:val="primepapierstyl"/>
        <w:rPr>
          <w:lang w:val="pl-PL"/>
        </w:rPr>
      </w:pPr>
      <w:r w:rsidRPr="004F50A7">
        <w:rPr>
          <w:lang w:val="pl-PL"/>
        </w:rPr>
        <w:t>e-mail: katarzyna.krupicka@primetimepr.pl</w:t>
      </w:r>
    </w:p>
    <w:p w:rsidR="009B74E5" w:rsidRPr="004F50A7" w:rsidRDefault="009B74E5" w:rsidP="009B74E5">
      <w:pPr>
        <w:pStyle w:val="primepapierstyl"/>
        <w:rPr>
          <w:lang w:val="pl-PL"/>
        </w:rPr>
      </w:pPr>
      <w:r w:rsidRPr="004F50A7">
        <w:rPr>
          <w:lang w:val="pl-PL"/>
        </w:rPr>
        <w:t>tel. 12 313 00 87</w:t>
      </w:r>
    </w:p>
    <w:sectPr w:rsidR="009B74E5" w:rsidRPr="004F50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E1" w:rsidRDefault="004537E1" w:rsidP="00EB07E0">
      <w:pPr>
        <w:spacing w:after="0" w:line="240" w:lineRule="auto"/>
      </w:pPr>
      <w:r>
        <w:separator/>
      </w:r>
    </w:p>
  </w:endnote>
  <w:endnote w:type="continuationSeparator" w:id="0">
    <w:p w:rsidR="004537E1" w:rsidRDefault="004537E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E1" w:rsidRDefault="004537E1" w:rsidP="00EB07E0">
      <w:pPr>
        <w:spacing w:after="0" w:line="240" w:lineRule="auto"/>
      </w:pPr>
      <w:r>
        <w:separator/>
      </w:r>
    </w:p>
  </w:footnote>
  <w:footnote w:type="continuationSeparator" w:id="0">
    <w:p w:rsidR="004537E1" w:rsidRDefault="004537E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F50A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F50A7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83AD7"/>
    <w:rsid w:val="00192D90"/>
    <w:rsid w:val="001B4FD3"/>
    <w:rsid w:val="001F6D66"/>
    <w:rsid w:val="00215605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466A8"/>
    <w:rsid w:val="003847B9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46D8D"/>
    <w:rsid w:val="004517FE"/>
    <w:rsid w:val="004537E1"/>
    <w:rsid w:val="004B0D14"/>
    <w:rsid w:val="004F50A7"/>
    <w:rsid w:val="00514748"/>
    <w:rsid w:val="00566241"/>
    <w:rsid w:val="00584E4F"/>
    <w:rsid w:val="00593EA3"/>
    <w:rsid w:val="005F76F0"/>
    <w:rsid w:val="00610B0F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A3774"/>
    <w:rsid w:val="007C4C00"/>
    <w:rsid w:val="007E475D"/>
    <w:rsid w:val="007E7EE9"/>
    <w:rsid w:val="00800848"/>
    <w:rsid w:val="00812B85"/>
    <w:rsid w:val="00815CCA"/>
    <w:rsid w:val="00882219"/>
    <w:rsid w:val="00887837"/>
    <w:rsid w:val="008A3622"/>
    <w:rsid w:val="008B2C61"/>
    <w:rsid w:val="008B5000"/>
    <w:rsid w:val="00905ABA"/>
    <w:rsid w:val="00967CD8"/>
    <w:rsid w:val="00982ADC"/>
    <w:rsid w:val="009B74E5"/>
    <w:rsid w:val="009D013C"/>
    <w:rsid w:val="009E2155"/>
    <w:rsid w:val="009E781A"/>
    <w:rsid w:val="00A32152"/>
    <w:rsid w:val="00A332E9"/>
    <w:rsid w:val="00AD46E3"/>
    <w:rsid w:val="00B13F16"/>
    <w:rsid w:val="00B24D15"/>
    <w:rsid w:val="00B54DFB"/>
    <w:rsid w:val="00B77313"/>
    <w:rsid w:val="00B95BCF"/>
    <w:rsid w:val="00BF1A1E"/>
    <w:rsid w:val="00C0105E"/>
    <w:rsid w:val="00C114F2"/>
    <w:rsid w:val="00C21C55"/>
    <w:rsid w:val="00C22C7D"/>
    <w:rsid w:val="00C23637"/>
    <w:rsid w:val="00C66FC5"/>
    <w:rsid w:val="00CA5ED0"/>
    <w:rsid w:val="00CD1D62"/>
    <w:rsid w:val="00D030FF"/>
    <w:rsid w:val="00D06BD8"/>
    <w:rsid w:val="00D932AE"/>
    <w:rsid w:val="00D9785F"/>
    <w:rsid w:val="00DB6B08"/>
    <w:rsid w:val="00DD0F6A"/>
    <w:rsid w:val="00E07609"/>
    <w:rsid w:val="00E1152E"/>
    <w:rsid w:val="00E83491"/>
    <w:rsid w:val="00EA507A"/>
    <w:rsid w:val="00EA6CBE"/>
    <w:rsid w:val="00EB07E0"/>
    <w:rsid w:val="00EB7C7C"/>
    <w:rsid w:val="00ED434B"/>
    <w:rsid w:val="00EF2DF3"/>
    <w:rsid w:val="00F159AC"/>
    <w:rsid w:val="00F36F5D"/>
    <w:rsid w:val="00F45429"/>
    <w:rsid w:val="00F55396"/>
    <w:rsid w:val="00F9742D"/>
    <w:rsid w:val="00FB5BBF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2636-491F-4B9C-9FC0-1C65BBDF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80</cp:revision>
  <cp:lastPrinted>2018-01-23T12:43:00Z</cp:lastPrinted>
  <dcterms:created xsi:type="dcterms:W3CDTF">2017-05-09T07:55:00Z</dcterms:created>
  <dcterms:modified xsi:type="dcterms:W3CDTF">2018-01-30T07:32:00Z</dcterms:modified>
</cp:coreProperties>
</file>