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DB6B08" w:rsidP="00E07609">
            <w:pPr>
              <w:pStyle w:val="primenaglowek2"/>
            </w:pPr>
            <w:r>
              <w:t>Informacja prasowa</w:t>
            </w:r>
            <w:r w:rsidR="00E07609">
              <w:t>:</w:t>
            </w:r>
          </w:p>
          <w:p w:rsidR="00E07609" w:rsidRPr="00E07609" w:rsidRDefault="00310B42" w:rsidP="006E4C7C">
            <w:pPr>
              <w:pStyle w:val="primepapierstyl"/>
              <w:rPr>
                <w:lang w:val="pl-PL"/>
              </w:rPr>
            </w:pPr>
            <w:r w:rsidRPr="00310B42">
              <w:rPr>
                <w:lang w:val="pl-PL"/>
              </w:rPr>
              <w:t>Korzystne dla deweloperów zmiany w przepisach.</w:t>
            </w:r>
          </w:p>
        </w:tc>
        <w:tc>
          <w:tcPr>
            <w:tcW w:w="2410" w:type="dxa"/>
          </w:tcPr>
          <w:p w:rsidR="00E07609" w:rsidRDefault="00E07609" w:rsidP="00E07609">
            <w:pPr>
              <w:pStyle w:val="primenaglowek2"/>
            </w:pPr>
            <w:r>
              <w:t>Data:</w:t>
            </w:r>
          </w:p>
          <w:p w:rsidR="00E07609" w:rsidRDefault="00310B42" w:rsidP="00E07609">
            <w:pPr>
              <w:pStyle w:val="primepapierstyl"/>
            </w:pPr>
            <w:r>
              <w:t>5.06</w:t>
            </w:r>
            <w:r w:rsidR="00E07609">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398EDDF6" wp14:editId="38E5FFFB">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310B42" w:rsidRPr="00310B42" w:rsidRDefault="00310B42" w:rsidP="00887837">
      <w:pPr>
        <w:pStyle w:val="primenaglowek1"/>
        <w:jc w:val="center"/>
      </w:pPr>
      <w:bookmarkStart w:id="0" w:name="_21yyfr477kq"/>
      <w:bookmarkEnd w:id="0"/>
      <w:r>
        <w:t>Korzystne dla deweloperów zmiany w przepisach.</w:t>
      </w:r>
    </w:p>
    <w:p w:rsidR="00310B42" w:rsidRDefault="00887837" w:rsidP="00310B42">
      <w:pPr>
        <w:pStyle w:val="primenaglowek2"/>
        <w:rPr>
          <w:rFonts w:eastAsia="Times New Roman"/>
        </w:rPr>
      </w:pPr>
      <w:r>
        <w:rPr>
          <w:rFonts w:eastAsia="Times New Roman"/>
        </w:rPr>
        <w:t>1 czerwca 2017 r. zmianie uległy</w:t>
      </w:r>
      <w:r w:rsidR="00310B42">
        <w:rPr>
          <w:rFonts w:eastAsia="Times New Roman"/>
        </w:rPr>
        <w:t xml:space="preserve"> zasady odpowiedzialności solidarnej inwestora i wykonawcy wobec podwykonawców za wykonane roboty budowlane. </w:t>
      </w:r>
    </w:p>
    <w:p w:rsidR="00310B42" w:rsidRDefault="00310B42" w:rsidP="00310B42">
      <w:pPr>
        <w:pStyle w:val="primepapierstyl"/>
        <w:rPr>
          <w:rFonts w:eastAsia="Times New Roman"/>
        </w:rPr>
      </w:pPr>
      <w:r>
        <w:rPr>
          <w:rFonts w:eastAsia="Times New Roman"/>
        </w:rPr>
        <w:t xml:space="preserve">Dotychczasowe regulacje sprawiały trudności w interpretacji i generowały dużą ilość sporów sądowych. Wątpliwości budziła m.in. forma zgody inwestora na współpracę z konkretnym podwykonawcą, zakresu odpowiedzialności oraz wielu innych kwestii. Nowe przepisy mają w założeniu je wyeliminować. </w:t>
      </w:r>
    </w:p>
    <w:p w:rsidR="00310B42" w:rsidRPr="00310B42" w:rsidRDefault="00310B42" w:rsidP="00310B42">
      <w:pPr>
        <w:pStyle w:val="primepapierstyl"/>
        <w:rPr>
          <w:rFonts w:eastAsia="Times New Roman"/>
        </w:rPr>
      </w:pPr>
      <w:r>
        <w:rPr>
          <w:rFonts w:eastAsia="Times New Roman"/>
        </w:rPr>
        <w:t xml:space="preserve">- </w:t>
      </w:r>
      <w:r>
        <w:rPr>
          <w:rFonts w:eastAsia="Times New Roman"/>
          <w:i/>
        </w:rPr>
        <w:t>Do tej pory</w:t>
      </w:r>
      <w:r>
        <w:rPr>
          <w:rFonts w:eastAsia="Times New Roman"/>
          <w:i/>
          <w:highlight w:val="white"/>
        </w:rPr>
        <w:t xml:space="preserve"> zasadą było, że wykonawca powinien wykonać roboty budowlane osobiście, chyba, że strony umówiły się inaczej </w:t>
      </w:r>
      <w:r>
        <w:rPr>
          <w:rFonts w:eastAsia="Times New Roman"/>
          <w:highlight w:val="white"/>
        </w:rPr>
        <w:t xml:space="preserve">- wyjaśnia </w:t>
      </w:r>
      <w:r>
        <w:rPr>
          <w:rFonts w:eastAsia="Times New Roman"/>
        </w:rPr>
        <w:t xml:space="preserve">Piotr Kijanka, dyrektor ds. Sprzedaży i Marketingu w Grupie Deweloperskiej </w:t>
      </w:r>
      <w:proofErr w:type="spellStart"/>
      <w:r>
        <w:rPr>
          <w:rFonts w:eastAsia="Times New Roman"/>
        </w:rPr>
        <w:t>Geo</w:t>
      </w:r>
      <w:proofErr w:type="spellEnd"/>
      <w:r>
        <w:rPr>
          <w:rFonts w:eastAsia="Times New Roman"/>
        </w:rPr>
        <w:t>.</w:t>
      </w:r>
      <w:r>
        <w:rPr>
          <w:rFonts w:eastAsia="Times New Roman"/>
          <w:highlight w:val="white"/>
        </w:rPr>
        <w:t xml:space="preserve"> -</w:t>
      </w:r>
      <w:r>
        <w:rPr>
          <w:rFonts w:eastAsia="Times New Roman"/>
          <w:i/>
          <w:highlight w:val="white"/>
        </w:rPr>
        <w:t xml:space="preserve"> </w:t>
      </w:r>
      <w:r>
        <w:rPr>
          <w:rFonts w:eastAsia="Times New Roman"/>
          <w:i/>
        </w:rPr>
        <w:t xml:space="preserve">Obecne regulacje przewidują, że wykonawca może je wykonać także przy pomocy podwykonawców i nie będzie to wymagać zgody inwestora. Może on natomiast sprzeciwić się decyzji o zatrudnieniu konkretnych podwykonawców </w:t>
      </w:r>
      <w:r>
        <w:rPr>
          <w:rFonts w:eastAsia="Times New Roman"/>
        </w:rPr>
        <w:t>- dodaje.</w:t>
      </w:r>
    </w:p>
    <w:p w:rsidR="00310B42" w:rsidRDefault="00310B42" w:rsidP="00310B42">
      <w:pPr>
        <w:pStyle w:val="primepapierstyl"/>
        <w:rPr>
          <w:rFonts w:eastAsia="Times New Roman"/>
        </w:rPr>
      </w:pPr>
      <w:r>
        <w:rPr>
          <w:rFonts w:eastAsia="Times New Roman"/>
        </w:rPr>
        <w:lastRenderedPageBreak/>
        <w:t>Na wyrażenie  takiego sprzeciwu inwestor ma 30 dni. Powinien być on sporządzony w formie pisemnej pod rygorem nieważności i przekazany wykonawcy oraz podwykonawcy. Złożenie sprzeciwu tylko wobec jednej z tych osób nie okaże się skuteczne.</w:t>
      </w:r>
    </w:p>
    <w:p w:rsidR="00310B42" w:rsidRPr="00887837" w:rsidRDefault="00310B42" w:rsidP="00310B42">
      <w:pPr>
        <w:pStyle w:val="primepapierstyl"/>
        <w:rPr>
          <w:rFonts w:eastAsia="Times New Roman"/>
          <w:lang w:val="pl-PL"/>
        </w:rPr>
      </w:pPr>
      <w:r>
        <w:rPr>
          <w:rFonts w:eastAsia="Times New Roman"/>
        </w:rPr>
        <w:t xml:space="preserve">Art. 647[1] k.c., mówi, że inwestor może wyrazić sprzeciw wobec wykonywania określonych robót budowlanych przez podwykonawcę, ale takie zgłoszenie wpływa jedynie na odpowiedzialność inwestora. Według przepisów nie będzie to skutkować automatycznym zakazem posłużenia się danym podwykonawcą. W takim przypadku podwykonawca musi działać na własne ryzyko. </w:t>
      </w:r>
      <w:r w:rsidRPr="00887837">
        <w:rPr>
          <w:rFonts w:eastAsia="Times New Roman"/>
          <w:lang w:val="pl-PL"/>
        </w:rPr>
        <w:t>Jeżeli wykonawca, który zlecił wykonanie prac, okaże się niewypłacalny, nie będzie mógł zgłosić roszczeń do inwestora</w:t>
      </w:r>
    </w:p>
    <w:p w:rsidR="00310B42" w:rsidRDefault="00310B42" w:rsidP="00310B42">
      <w:pPr>
        <w:pStyle w:val="primepapierstyl"/>
        <w:rPr>
          <w:rFonts w:eastAsia="Times New Roman"/>
        </w:rPr>
      </w:pPr>
      <w:r>
        <w:rPr>
          <w:rFonts w:eastAsia="Times New Roman"/>
        </w:rPr>
        <w:t>-</w:t>
      </w:r>
      <w:r>
        <w:rPr>
          <w:rFonts w:eastAsia="Times New Roman"/>
          <w:i/>
        </w:rPr>
        <w:t xml:space="preserve"> </w:t>
      </w:r>
      <w:proofErr w:type="spellStart"/>
      <w:r>
        <w:rPr>
          <w:rFonts w:eastAsia="Times New Roman"/>
          <w:i/>
        </w:rPr>
        <w:t>Zgłoszenie</w:t>
      </w:r>
      <w:proofErr w:type="spellEnd"/>
      <w:r>
        <w:rPr>
          <w:rFonts w:eastAsia="Times New Roman"/>
          <w:i/>
        </w:rPr>
        <w:t xml:space="preserve"> </w:t>
      </w:r>
      <w:proofErr w:type="spellStart"/>
      <w:r>
        <w:rPr>
          <w:rFonts w:eastAsia="Times New Roman"/>
          <w:i/>
        </w:rPr>
        <w:t>konkretnego</w:t>
      </w:r>
      <w:proofErr w:type="spellEnd"/>
      <w:r>
        <w:rPr>
          <w:rFonts w:eastAsia="Times New Roman"/>
          <w:i/>
        </w:rPr>
        <w:t xml:space="preserve"> </w:t>
      </w:r>
      <w:proofErr w:type="spellStart"/>
      <w:r>
        <w:rPr>
          <w:rFonts w:eastAsia="Times New Roman"/>
          <w:i/>
        </w:rPr>
        <w:t>podwykonawcy</w:t>
      </w:r>
      <w:proofErr w:type="spellEnd"/>
      <w:r>
        <w:rPr>
          <w:rFonts w:eastAsia="Times New Roman"/>
          <w:i/>
        </w:rPr>
        <w:t xml:space="preserve"> przez wykonawcę generalnego musi zawierać przynajmniej dwa elementy </w:t>
      </w:r>
      <w:r>
        <w:rPr>
          <w:rFonts w:eastAsia="Times New Roman"/>
        </w:rPr>
        <w:t xml:space="preserve">- tłumaczy ekspert Grupy Deweloperskiej </w:t>
      </w:r>
      <w:proofErr w:type="spellStart"/>
      <w:r>
        <w:rPr>
          <w:rFonts w:eastAsia="Times New Roman"/>
        </w:rPr>
        <w:t>Geo</w:t>
      </w:r>
      <w:proofErr w:type="spellEnd"/>
      <w:r>
        <w:rPr>
          <w:rFonts w:eastAsia="Times New Roman"/>
        </w:rPr>
        <w:t>. -</w:t>
      </w:r>
      <w:r>
        <w:rPr>
          <w:rFonts w:eastAsia="Times New Roman"/>
          <w:i/>
        </w:rPr>
        <w:t xml:space="preserve"> Po pierwsze, dane identyfikujące podwykonawcę, a po drugie, szczegółowy zakres robót. Te należy  określić na tyle szczegółowo, aby możliwe było oszacowanie wysokości wynagrodzenia należnego wykonawcy za te roboty, co wpłynie na limit odpowiedzialności inwestora. Jeżeli takie informacje zostały zawarte w umowie, zgłoszenie nie jest konieczne</w:t>
      </w:r>
      <w:r>
        <w:rPr>
          <w:rFonts w:eastAsia="Times New Roman"/>
        </w:rPr>
        <w:t xml:space="preserve"> - dodaje.</w:t>
      </w:r>
    </w:p>
    <w:p w:rsidR="00310B42" w:rsidRDefault="00310B42" w:rsidP="009B74E5">
      <w:pPr>
        <w:pStyle w:val="primepapierstyl"/>
        <w:rPr>
          <w:rFonts w:eastAsia="Times New Roman"/>
          <w:lang w:val="pl-PL"/>
        </w:rPr>
      </w:pPr>
      <w:r>
        <w:rPr>
          <w:rFonts w:eastAsia="Times New Roman"/>
        </w:rPr>
        <w:t xml:space="preserve">Niewątpliwie nowe regulacje są korzystniejsze dla inwestorów. </w:t>
      </w:r>
      <w:r w:rsidR="00EA507A">
        <w:rPr>
          <w:rFonts w:eastAsia="Times New Roman"/>
          <w:lang w:val="pl-PL"/>
        </w:rPr>
        <w:t xml:space="preserve">Przepisy te </w:t>
      </w:r>
      <w:r w:rsidRPr="00310B42">
        <w:rPr>
          <w:rFonts w:eastAsia="Times New Roman"/>
          <w:lang w:val="pl-PL"/>
        </w:rPr>
        <w:t>obowią</w:t>
      </w:r>
      <w:r w:rsidR="00EA507A">
        <w:rPr>
          <w:rFonts w:eastAsia="Times New Roman"/>
          <w:lang w:val="pl-PL"/>
        </w:rPr>
        <w:t>zują</w:t>
      </w:r>
      <w:bookmarkStart w:id="1" w:name="_GoBack"/>
      <w:bookmarkEnd w:id="1"/>
      <w:r w:rsidRPr="00310B42">
        <w:rPr>
          <w:rFonts w:eastAsia="Times New Roman"/>
          <w:lang w:val="pl-PL"/>
        </w:rPr>
        <w:t xml:space="preserve"> do umów o roboty budowlane zawartych od dnia 1 czerwca 2017 r., do umów zawartych wcześniej stosuje się dotychczasowe regulacje.</w:t>
      </w:r>
    </w:p>
    <w:p w:rsidR="00887837" w:rsidRDefault="00887837" w:rsidP="009B74E5">
      <w:pPr>
        <w:pStyle w:val="primepapierstyl"/>
        <w:rPr>
          <w:rFonts w:eastAsia="Times New Roman"/>
          <w:lang w:val="pl-PL"/>
        </w:rPr>
      </w:pPr>
    </w:p>
    <w:p w:rsidR="00887837" w:rsidRPr="00887837" w:rsidRDefault="00887837" w:rsidP="009B74E5">
      <w:pPr>
        <w:pStyle w:val="primepapierstyl"/>
        <w:rPr>
          <w:rFonts w:eastAsia="Times New Roman"/>
          <w:lang w:val="pl-PL"/>
        </w:rPr>
      </w:pPr>
    </w:p>
    <w:p w:rsidR="009B74E5" w:rsidRPr="009B74E5" w:rsidRDefault="00E83491" w:rsidP="009B74E5">
      <w:pPr>
        <w:pStyle w:val="primepapierstyl"/>
        <w:rPr>
          <w:lang w:val="pl-PL"/>
        </w:rPr>
      </w:pPr>
      <w:r>
        <w:rPr>
          <w:lang w:val="pl-PL"/>
        </w:rPr>
        <w:lastRenderedPageBreak/>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7C4C00" w:rsidRDefault="009B74E5" w:rsidP="009B74E5">
      <w:pPr>
        <w:pStyle w:val="primepapierstyl"/>
      </w:pPr>
      <w:r w:rsidRPr="007C4C00">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4E" w:rsidRDefault="002A784E" w:rsidP="00EB07E0">
      <w:pPr>
        <w:spacing w:after="0" w:line="240" w:lineRule="auto"/>
      </w:pPr>
      <w:r>
        <w:separator/>
      </w:r>
    </w:p>
  </w:endnote>
  <w:endnote w:type="continuationSeparator" w:id="0">
    <w:p w:rsidR="002A784E" w:rsidRDefault="002A784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4E" w:rsidRDefault="002A784E" w:rsidP="00EB07E0">
      <w:pPr>
        <w:spacing w:after="0" w:line="240" w:lineRule="auto"/>
      </w:pPr>
      <w:r>
        <w:separator/>
      </w:r>
    </w:p>
  </w:footnote>
  <w:footnote w:type="continuationSeparator" w:id="0">
    <w:p w:rsidR="002A784E" w:rsidRDefault="002A784E"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A507A">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A507A">
                      <w:rPr>
                        <w:noProof/>
                      </w:rPr>
                      <w:t>3</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2A784E"/>
    <w:rsid w:val="00310B42"/>
    <w:rsid w:val="00385564"/>
    <w:rsid w:val="003A6A3E"/>
    <w:rsid w:val="00415459"/>
    <w:rsid w:val="0041704D"/>
    <w:rsid w:val="00433F44"/>
    <w:rsid w:val="00514748"/>
    <w:rsid w:val="00584E4F"/>
    <w:rsid w:val="005F76F0"/>
    <w:rsid w:val="006E4C7C"/>
    <w:rsid w:val="00731308"/>
    <w:rsid w:val="007A3774"/>
    <w:rsid w:val="007C4C00"/>
    <w:rsid w:val="00800848"/>
    <w:rsid w:val="00887837"/>
    <w:rsid w:val="008B5000"/>
    <w:rsid w:val="009B74E5"/>
    <w:rsid w:val="009D013C"/>
    <w:rsid w:val="009E2155"/>
    <w:rsid w:val="009E781A"/>
    <w:rsid w:val="00A32152"/>
    <w:rsid w:val="00C23637"/>
    <w:rsid w:val="00DB6B08"/>
    <w:rsid w:val="00DD0F6A"/>
    <w:rsid w:val="00E07609"/>
    <w:rsid w:val="00E1152E"/>
    <w:rsid w:val="00E83491"/>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076D-5D08-4E5E-BEE7-D18FA4E4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368</Words>
  <Characters>2213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14</cp:revision>
  <cp:lastPrinted>2017-05-08T08:43:00Z</cp:lastPrinted>
  <dcterms:created xsi:type="dcterms:W3CDTF">2017-05-09T07:55:00Z</dcterms:created>
  <dcterms:modified xsi:type="dcterms:W3CDTF">2017-06-05T13:07:00Z</dcterms:modified>
</cp:coreProperties>
</file>