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D9785F" w:rsidP="006E4C7C">
            <w:pPr>
              <w:pStyle w:val="primepapierstyl"/>
              <w:rPr>
                <w:lang w:val="pl-PL"/>
              </w:rPr>
            </w:pPr>
            <w:r w:rsidRPr="00D9785F">
              <w:rPr>
                <w:lang w:val="pl-PL"/>
              </w:rPr>
              <w:t>Banki liczą na nieruchomości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D9785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="003A51DA" w:rsidRPr="003A51DA">
              <w:rPr>
                <w:lang w:val="pl-PL"/>
              </w:rPr>
              <w:t>.</w:t>
            </w:r>
            <w:r w:rsidR="006563AD">
              <w:rPr>
                <w:lang w:val="pl-PL"/>
              </w:rPr>
              <w:t>11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2C86D9C6" wp14:editId="4C5D5094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85F" w:rsidRDefault="00D9785F" w:rsidP="00D9785F">
      <w:pPr>
        <w:pStyle w:val="primenaglowek1"/>
        <w:jc w:val="center"/>
      </w:pPr>
      <w:bookmarkStart w:id="0" w:name="_21yyfr477kq"/>
      <w:bookmarkEnd w:id="0"/>
      <w:r w:rsidRPr="00D9785F">
        <w:t>Banki liczą na nieruchomości</w:t>
      </w:r>
    </w:p>
    <w:p w:rsidR="00D9785F" w:rsidRPr="00D9785F" w:rsidRDefault="00D9785F" w:rsidP="00D9785F">
      <w:pPr>
        <w:pStyle w:val="primenaglowek2"/>
      </w:pPr>
      <w:r>
        <w:t>Według raportu KPMG CEE "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Barometer</w:t>
      </w:r>
      <w:proofErr w:type="spellEnd"/>
      <w:r>
        <w:t xml:space="preserve"> 2017" aż 60% badanych banków w Polsce liczy na wzrost liczby udzielanych kredytów na inwestycje w nieruchomości. Jak plasuje się rynek mieszkań w zestawieniu i jakie inne sektory są najbardziej atrakcyjne?</w:t>
      </w:r>
    </w:p>
    <w:p w:rsidR="00D9785F" w:rsidRDefault="00D9785F" w:rsidP="00D9785F">
      <w:pPr>
        <w:pStyle w:val="primepapierstyl"/>
      </w:pPr>
      <w:r>
        <w:t xml:space="preserve">W raporcie podkreślono, że zarówno sytuacja geopolityczna, jak i konsekwencje </w:t>
      </w:r>
      <w:proofErr w:type="spellStart"/>
      <w:r>
        <w:t>Brexitu</w:t>
      </w:r>
      <w:proofErr w:type="spellEnd"/>
      <w:r>
        <w:rPr>
          <w:color w:val="FF0000"/>
        </w:rPr>
        <w:t xml:space="preserve"> </w:t>
      </w:r>
      <w:r>
        <w:t>mają wpływ na warunki finansowania inwestycji w sektorze nieruchomości, które w świetle wydarzeń wciąż jednak pozostają korzystne.</w:t>
      </w:r>
    </w:p>
    <w:p w:rsidR="00D9785F" w:rsidRPr="00D9785F" w:rsidRDefault="00D9785F" w:rsidP="00D9785F">
      <w:pPr>
        <w:pStyle w:val="primenaglowek2"/>
      </w:pPr>
      <w:r>
        <w:t>Mieszkaniówka górą</w:t>
      </w:r>
    </w:p>
    <w:p w:rsidR="00D9785F" w:rsidRDefault="00D9785F" w:rsidP="00D9785F">
      <w:pPr>
        <w:pStyle w:val="primepapierstyl"/>
      </w:pPr>
      <w:r w:rsidRPr="002D1FFC">
        <w:rPr>
          <w:lang w:val="pl-PL"/>
        </w:rPr>
        <w:t>Bardzo dużym zainteresowaniem cieszą si</w:t>
      </w:r>
      <w:r w:rsidR="002D1FFC">
        <w:rPr>
          <w:lang w:val="pl-PL"/>
        </w:rPr>
        <w:t>ę powierzchnie biurowe, na które</w:t>
      </w:r>
      <w:r w:rsidRPr="002D1FFC">
        <w:rPr>
          <w:lang w:val="pl-PL"/>
        </w:rPr>
        <w:t xml:space="preserve"> popyt będzie wzrastał z powodu </w:t>
      </w:r>
      <w:proofErr w:type="spellStart"/>
      <w:r w:rsidRPr="002D1FFC">
        <w:rPr>
          <w:lang w:val="pl-PL"/>
        </w:rPr>
        <w:t>Brexitu</w:t>
      </w:r>
      <w:proofErr w:type="spellEnd"/>
      <w:r w:rsidRPr="002D1FFC">
        <w:rPr>
          <w:lang w:val="pl-PL"/>
        </w:rPr>
        <w:t xml:space="preserve">. </w:t>
      </w:r>
      <w:proofErr w:type="spellStart"/>
      <w:r>
        <w:t>Będzie</w:t>
      </w:r>
      <w:proofErr w:type="spellEnd"/>
      <w:r>
        <w:t xml:space="preserve"> to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przesunięciem</w:t>
      </w:r>
      <w:proofErr w:type="spellEnd"/>
      <w:r>
        <w:t xml:space="preserve"> działalności do innych krajów UE. W pierwszej połowie 2017 r. wielkość tychże inwestycji wyniosła 1,6 mld euro, a analitycy przewidują porównywalny wynik także w drugiej połowie. Niemal tak samo popularne są nieruchomości handlowe i hotele.</w:t>
      </w:r>
    </w:p>
    <w:p w:rsidR="00D9785F" w:rsidRPr="00D9785F" w:rsidRDefault="00D9785F" w:rsidP="00D9785F">
      <w:pPr>
        <w:pStyle w:val="primepapierstyl"/>
        <w:rPr>
          <w:lang w:val="pl-PL"/>
        </w:rPr>
      </w:pPr>
      <w:r>
        <w:lastRenderedPageBreak/>
        <w:t xml:space="preserve">Jak zaznaczono, banki w Polsce najchętniej jednak finansują nieruchomości mieszkaniowe. </w:t>
      </w:r>
      <w:r w:rsidRPr="00D9785F">
        <w:rPr>
          <w:lang w:val="pl-PL"/>
        </w:rPr>
        <w:t xml:space="preserve">Z najnowszego raportu AMRON </w:t>
      </w:r>
      <w:proofErr w:type="spellStart"/>
      <w:r w:rsidRPr="00D9785F">
        <w:rPr>
          <w:lang w:val="pl-PL"/>
        </w:rPr>
        <w:t>SARFiN</w:t>
      </w:r>
      <w:proofErr w:type="spellEnd"/>
      <w:r w:rsidRPr="00D9785F">
        <w:rPr>
          <w:lang w:val="pl-PL"/>
        </w:rPr>
        <w:t xml:space="preserve"> wynika, że czynnych kredytów hipotecznych na polskim rynku jest ponad 2 mln (stan na II kw. 2017 r.).</w:t>
      </w:r>
    </w:p>
    <w:p w:rsidR="00D9785F" w:rsidRPr="00D9785F" w:rsidRDefault="00D9785F" w:rsidP="00D9785F">
      <w:pPr>
        <w:pStyle w:val="primepapierstyl"/>
        <w:rPr>
          <w:lang w:val="pl-PL"/>
        </w:rPr>
      </w:pPr>
      <w:r>
        <w:t xml:space="preserve">- </w:t>
      </w:r>
      <w:proofErr w:type="spellStart"/>
      <w:r>
        <w:rPr>
          <w:i/>
        </w:rPr>
        <w:t>Bezpośredni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wpływ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ilość przyznawanych kredytów hipotecznych ma bardzo dobra sytuacja na rynku mieszkań. </w:t>
      </w:r>
      <w:r w:rsidRPr="002D1FFC">
        <w:rPr>
          <w:i/>
          <w:lang w:val="pl-PL"/>
        </w:rPr>
        <w:t>Rekordowe ilości oddawanych do użytku nowych lokali i roz</w:t>
      </w:r>
      <w:r w:rsidR="002D1FFC" w:rsidRPr="002D1FFC">
        <w:rPr>
          <w:i/>
          <w:lang w:val="pl-PL"/>
        </w:rPr>
        <w:t>poczynających się budów powodują</w:t>
      </w:r>
      <w:r w:rsidRPr="002D1FFC">
        <w:rPr>
          <w:i/>
          <w:lang w:val="pl-PL"/>
        </w:rPr>
        <w:t xml:space="preserve">, że Polacy mają w czym wybierać i inwestują w zakup mieszkania. </w:t>
      </w:r>
      <w:r w:rsidRPr="00D9785F">
        <w:rPr>
          <w:i/>
          <w:lang w:val="pl-PL"/>
        </w:rPr>
        <w:t>Wielu z nich swoje pierwsze kroki kieruje do banku</w:t>
      </w:r>
      <w:r w:rsidRPr="00D9785F">
        <w:rPr>
          <w:lang w:val="pl-PL"/>
        </w:rPr>
        <w:t xml:space="preserve"> - zauważa Piotr Kijanka, dyrektor ds. sprzedaży i marketingu w Grupie Deweloperskiej </w:t>
      </w:r>
      <w:proofErr w:type="spellStart"/>
      <w:r w:rsidRPr="00D9785F">
        <w:rPr>
          <w:lang w:val="pl-PL"/>
        </w:rPr>
        <w:t>Geo</w:t>
      </w:r>
      <w:proofErr w:type="spellEnd"/>
      <w:r w:rsidRPr="00D9785F">
        <w:rPr>
          <w:lang w:val="pl-PL"/>
        </w:rPr>
        <w:t>.</w:t>
      </w:r>
    </w:p>
    <w:p w:rsidR="00D9785F" w:rsidRDefault="00D9785F" w:rsidP="00D9785F">
      <w:pPr>
        <w:pStyle w:val="primepapierstyl"/>
      </w:pPr>
      <w:bookmarkStart w:id="1" w:name="_gjdgxs" w:colFirst="0" w:colLast="0"/>
      <w:bookmarkEnd w:id="1"/>
      <w:r w:rsidRPr="002D1FFC">
        <w:rPr>
          <w:lang w:val="pl-PL"/>
        </w:rPr>
        <w:t xml:space="preserve">W 2016 roku sprzedano w Polsce 61,9 tys. nowych mieszkań, a wprowadzono </w:t>
      </w:r>
      <w:r w:rsidR="002D1FFC" w:rsidRPr="002D1FFC">
        <w:rPr>
          <w:lang w:val="pl-PL"/>
        </w:rPr>
        <w:t>do</w:t>
      </w:r>
      <w:r w:rsidR="002D1FFC">
        <w:rPr>
          <w:lang w:val="pl-PL"/>
        </w:rPr>
        <w:t xml:space="preserve"> sprzedaży </w:t>
      </w:r>
      <w:r w:rsidRPr="002D1FFC">
        <w:rPr>
          <w:lang w:val="pl-PL"/>
        </w:rPr>
        <w:t xml:space="preserve">65 tys., z kolei w pierwszych 3 kwartałach 2017 jest to podobnie 53,8 tys. sprzedanych i 50,9 tys. wprowadzonych lokali mieszkalnych. </w:t>
      </w:r>
      <w:proofErr w:type="spellStart"/>
      <w:r>
        <w:t>Specjaliści</w:t>
      </w:r>
      <w:proofErr w:type="spellEnd"/>
      <w:r>
        <w:t xml:space="preserve"> </w:t>
      </w:r>
      <w:proofErr w:type="spellStart"/>
      <w:r>
        <w:t>prognozują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wynik</w:t>
      </w:r>
      <w:proofErr w:type="spellEnd"/>
      <w:r>
        <w:t xml:space="preserve"> z całego 2017 roku przebije ten z poprzedniego. To </w:t>
      </w:r>
      <w:proofErr w:type="spellStart"/>
      <w:r>
        <w:t>najwyższe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w </w:t>
      </w:r>
      <w:proofErr w:type="spellStart"/>
      <w:r>
        <w:t>historii</w:t>
      </w:r>
      <w:proofErr w:type="spellEnd"/>
      <w:r>
        <w:t>.</w:t>
      </w:r>
    </w:p>
    <w:p w:rsidR="00D9785F" w:rsidRPr="00D9785F" w:rsidRDefault="00D9785F" w:rsidP="00D9785F">
      <w:pPr>
        <w:pStyle w:val="primenaglowek2"/>
      </w:pPr>
      <w:r>
        <w:t>Kredytów coraz więcej</w:t>
      </w:r>
    </w:p>
    <w:p w:rsidR="00D9785F" w:rsidRDefault="00D9785F" w:rsidP="00D9785F">
      <w:pPr>
        <w:pStyle w:val="primepapierstyl"/>
      </w:pPr>
      <w:r>
        <w:t xml:space="preserve">- </w:t>
      </w:r>
      <w:r w:rsidRPr="002D1FFC">
        <w:rPr>
          <w:i/>
        </w:rPr>
        <w:t>Tak duża podaż na rynku nieruchomości ma swoje odzwierciedlenie w równie dużym popycie. Ze względu na niskie stopy procentowe wzrasta ilość transakcji za gotówkę, ale równocześnie nie brakuje osób, które korzystają ze wsparcia finansowego, jakie daje im kredyt</w:t>
      </w:r>
      <w:r>
        <w:t xml:space="preserve"> - wyjaśnia Piotr Kijanka.</w:t>
      </w:r>
    </w:p>
    <w:p w:rsidR="00D9785F" w:rsidRDefault="00D9785F" w:rsidP="00D9785F">
      <w:pPr>
        <w:pStyle w:val="primepapierstyl"/>
      </w:pPr>
      <w:r>
        <w:t>O rocznej dynamice wartości wnioskowanych kredytów hipotecznych informuje wskaźnik BIK Indeks. Jak podało niedawno Biuro Informacji Kredytowej, w październiku 2017 r. banki oraz SKOK-i przesłały do BIK zapytania o kredyty mieszkaniowe na kwotę wyższą o 10,7% w porównaniu z październikiem 2016 r.</w:t>
      </w:r>
    </w:p>
    <w:p w:rsidR="00D9785F" w:rsidRDefault="00D9785F" w:rsidP="00D9785F">
      <w:pPr>
        <w:pStyle w:val="primepapierstyl"/>
      </w:pPr>
      <w:r>
        <w:lastRenderedPageBreak/>
        <w:t xml:space="preserve">Jeżeli prześledzimy dane dotyczące czynnych kredytów hipotecznych, możemy zauważyć,  że choć zmiany kwartalne często są naprzemienne (I kw. 2016 to niemal 11-procentowy spadek w porównaniu z kwartałem poprzednim, natomiast II kw. przyniósł 12-procentowy wzrost), ogólna tendencja jest wyraźnie wzrostowa. Polacy często korzystają z </w:t>
      </w:r>
      <w:proofErr w:type="spellStart"/>
      <w:r>
        <w:t>kredytu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zakupie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>.</w:t>
      </w:r>
    </w:p>
    <w:p w:rsidR="00D9785F" w:rsidRPr="00D9785F" w:rsidRDefault="00D9785F" w:rsidP="00D9785F">
      <w:pPr>
        <w:pStyle w:val="primepapierstyl"/>
        <w:rPr>
          <w:lang w:val="pl-PL"/>
        </w:rPr>
      </w:pPr>
      <w:r>
        <w:t xml:space="preserve">- </w:t>
      </w:r>
      <w:r w:rsidRPr="002D1FFC">
        <w:rPr>
          <w:i/>
        </w:rPr>
        <w:t xml:space="preserve">Na zwiększanie się ilości kredytów z pewnością miał wpływ program </w:t>
      </w:r>
      <w:proofErr w:type="spellStart"/>
      <w:r w:rsidRPr="002D1FFC">
        <w:rPr>
          <w:i/>
        </w:rPr>
        <w:t>MdM</w:t>
      </w:r>
      <w:proofErr w:type="spellEnd"/>
      <w:r w:rsidRPr="002D1FFC">
        <w:rPr>
          <w:i/>
        </w:rPr>
        <w:t xml:space="preserve">. Warunkiem koniecznym do jego przystąpienia i tym samym skorzystania z dofinansowania rządowego  było zaciągnięcie kredytu. Coraz więcej młodych Polaków podejmuje decyzję o zmianie wynajmowanego lokalu na własne M, a rodziny kupują większe mieszkania. Rynek jest stabilny i tym samym atrakcyjny dla nabywców. </w:t>
      </w:r>
      <w:r w:rsidRPr="002D1FFC">
        <w:rPr>
          <w:i/>
          <w:lang w:val="pl-PL"/>
        </w:rPr>
        <w:t>To dobry czas na zakup lokalu mieszkalnego</w:t>
      </w:r>
      <w:r w:rsidRPr="00D9785F">
        <w:rPr>
          <w:lang w:val="pl-PL"/>
        </w:rPr>
        <w:t xml:space="preserve"> - podsumowuje ekspert Grupy </w:t>
      </w:r>
      <w:proofErr w:type="spellStart"/>
      <w:r w:rsidRPr="00D9785F">
        <w:rPr>
          <w:lang w:val="pl-PL"/>
        </w:rPr>
        <w:t>Geo</w:t>
      </w:r>
      <w:proofErr w:type="spellEnd"/>
      <w:r w:rsidRPr="00D9785F">
        <w:rPr>
          <w:lang w:val="pl-PL"/>
        </w:rPr>
        <w:t>.</w:t>
      </w:r>
    </w:p>
    <w:p w:rsidR="006563AD" w:rsidRDefault="00D9785F" w:rsidP="009B74E5">
      <w:pPr>
        <w:pStyle w:val="primepapierstyl"/>
        <w:rPr>
          <w:lang w:val="pl-PL"/>
        </w:rPr>
      </w:pPr>
      <w:proofErr w:type="spellStart"/>
      <w:r>
        <w:t>Wkrótce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sytuacja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ulec zmianie. Koszt kredytu wzrośnie w przypadku podwyżek stóp procentowych, które możliwe są już w 2018 roku. </w:t>
      </w:r>
      <w:r w:rsidRPr="00D9785F">
        <w:rPr>
          <w:lang w:val="pl-PL"/>
        </w:rPr>
        <w:t>Na razie banki pozostają otwarte na finansowanie inwestycji w branży nieruchomości i nie przewidują znacznych zmian oraz odwrócenia aktualnych tendencji.</w:t>
      </w:r>
    </w:p>
    <w:p w:rsidR="002D1FFC" w:rsidRPr="00EF2DF3" w:rsidRDefault="002D1FFC" w:rsidP="009B74E5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bookmarkStart w:id="2" w:name="_GoBack"/>
      <w:bookmarkEnd w:id="2"/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DC" w:rsidRDefault="00982ADC" w:rsidP="00EB07E0">
      <w:pPr>
        <w:spacing w:after="0" w:line="240" w:lineRule="auto"/>
      </w:pPr>
      <w:r>
        <w:separator/>
      </w:r>
    </w:p>
  </w:endnote>
  <w:endnote w:type="continuationSeparator" w:id="0">
    <w:p w:rsidR="00982ADC" w:rsidRDefault="00982AD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DC" w:rsidRDefault="00982ADC" w:rsidP="00EB07E0">
      <w:pPr>
        <w:spacing w:after="0" w:line="240" w:lineRule="auto"/>
      </w:pPr>
      <w:r>
        <w:separator/>
      </w:r>
    </w:p>
  </w:footnote>
  <w:footnote w:type="continuationSeparator" w:id="0">
    <w:p w:rsidR="00982ADC" w:rsidRDefault="00982AD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33F7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33F7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E0FD1"/>
    <w:rsid w:val="000E2DF6"/>
    <w:rsid w:val="00183AD7"/>
    <w:rsid w:val="00192D90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85564"/>
    <w:rsid w:val="00387A9A"/>
    <w:rsid w:val="00397B08"/>
    <w:rsid w:val="003A51DA"/>
    <w:rsid w:val="003A6A3E"/>
    <w:rsid w:val="003D15F2"/>
    <w:rsid w:val="003E1673"/>
    <w:rsid w:val="00415459"/>
    <w:rsid w:val="0041704D"/>
    <w:rsid w:val="00433F44"/>
    <w:rsid w:val="004B0D14"/>
    <w:rsid w:val="00514748"/>
    <w:rsid w:val="00566241"/>
    <w:rsid w:val="00584E4F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E4C7C"/>
    <w:rsid w:val="00726898"/>
    <w:rsid w:val="00727145"/>
    <w:rsid w:val="00731308"/>
    <w:rsid w:val="007A3774"/>
    <w:rsid w:val="007C4C00"/>
    <w:rsid w:val="007E7EE9"/>
    <w:rsid w:val="00800848"/>
    <w:rsid w:val="00812B85"/>
    <w:rsid w:val="00882219"/>
    <w:rsid w:val="00887837"/>
    <w:rsid w:val="008A3622"/>
    <w:rsid w:val="008B5000"/>
    <w:rsid w:val="00967CD8"/>
    <w:rsid w:val="00982ADC"/>
    <w:rsid w:val="009B74E5"/>
    <w:rsid w:val="009D013C"/>
    <w:rsid w:val="009E2155"/>
    <w:rsid w:val="009E781A"/>
    <w:rsid w:val="00A32152"/>
    <w:rsid w:val="00A332E9"/>
    <w:rsid w:val="00B24D15"/>
    <w:rsid w:val="00B54DFB"/>
    <w:rsid w:val="00B95BCF"/>
    <w:rsid w:val="00C0105E"/>
    <w:rsid w:val="00C114F2"/>
    <w:rsid w:val="00C21C55"/>
    <w:rsid w:val="00C22C7D"/>
    <w:rsid w:val="00C23637"/>
    <w:rsid w:val="00C66FC5"/>
    <w:rsid w:val="00CD1D62"/>
    <w:rsid w:val="00D030FF"/>
    <w:rsid w:val="00D932AE"/>
    <w:rsid w:val="00D9785F"/>
    <w:rsid w:val="00DB6B08"/>
    <w:rsid w:val="00DD0F6A"/>
    <w:rsid w:val="00E07609"/>
    <w:rsid w:val="00E1152E"/>
    <w:rsid w:val="00E83491"/>
    <w:rsid w:val="00EA507A"/>
    <w:rsid w:val="00EB07E0"/>
    <w:rsid w:val="00EB7C7C"/>
    <w:rsid w:val="00ED434B"/>
    <w:rsid w:val="00EF2DF3"/>
    <w:rsid w:val="00F159AC"/>
    <w:rsid w:val="00F36F5D"/>
    <w:rsid w:val="00F45429"/>
    <w:rsid w:val="00F55396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9C21-A571-479F-9245-35A26267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59</cp:revision>
  <cp:lastPrinted>2017-11-20T12:43:00Z</cp:lastPrinted>
  <dcterms:created xsi:type="dcterms:W3CDTF">2017-05-09T07:55:00Z</dcterms:created>
  <dcterms:modified xsi:type="dcterms:W3CDTF">2017-11-20T12:48:00Z</dcterms:modified>
</cp:coreProperties>
</file>